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1D1CA" w14:textId="77777777" w:rsidR="000B641D" w:rsidRPr="00AA0E87" w:rsidRDefault="00E039D2">
      <w:pPr>
        <w:spacing w:after="266"/>
        <w:ind w:left="1243"/>
      </w:pPr>
      <w:r>
        <w:t xml:space="preserve">  </w:t>
      </w:r>
      <w:r w:rsidR="00F83F19">
        <w:rPr>
          <w:noProof/>
        </w:rPr>
        <w:drawing>
          <wp:inline distT="0" distB="0" distL="0" distR="0" wp14:anchorId="5DEBF5FD" wp14:editId="4048D2D6">
            <wp:extent cx="609600" cy="615315"/>
            <wp:effectExtent l="0" t="0" r="0" b="0"/>
            <wp:docPr id="3091" name="Picture 3091"/>
            <wp:cNvGraphicFramePr/>
            <a:graphic xmlns:a="http://schemas.openxmlformats.org/drawingml/2006/main">
              <a:graphicData uri="http://schemas.openxmlformats.org/drawingml/2006/picture">
                <pic:pic xmlns:pic="http://schemas.openxmlformats.org/drawingml/2006/picture">
                  <pic:nvPicPr>
                    <pic:cNvPr id="3091" name="Picture 3091"/>
                    <pic:cNvPicPr/>
                  </pic:nvPicPr>
                  <pic:blipFill>
                    <a:blip r:embed="rId8"/>
                    <a:stretch>
                      <a:fillRect/>
                    </a:stretch>
                  </pic:blipFill>
                  <pic:spPr>
                    <a:xfrm>
                      <a:off x="0" y="0"/>
                      <a:ext cx="609982" cy="615701"/>
                    </a:xfrm>
                    <a:prstGeom prst="rect">
                      <a:avLst/>
                    </a:prstGeom>
                  </pic:spPr>
                </pic:pic>
              </a:graphicData>
            </a:graphic>
          </wp:inline>
        </w:drawing>
      </w:r>
      <w:r w:rsidR="00631ABF">
        <w:tab/>
      </w:r>
      <w:r w:rsidR="00631ABF">
        <w:tab/>
      </w:r>
      <w:r w:rsidR="00ED1491">
        <w:tab/>
      </w:r>
      <w:r w:rsidR="00ED1491">
        <w:tab/>
      </w:r>
      <w:r w:rsidR="00E0292B">
        <w:tab/>
      </w:r>
      <w:r w:rsidR="00486DBE">
        <w:tab/>
      </w:r>
      <w:r w:rsidR="00ED1491">
        <w:t>Warszawa</w:t>
      </w:r>
      <w:r w:rsidR="00D11040">
        <w:t xml:space="preserve">, </w:t>
      </w:r>
      <w:r w:rsidR="00486DBE">
        <w:t xml:space="preserve">13 </w:t>
      </w:r>
      <w:r w:rsidR="00AA0E87">
        <w:t>maja 2022 r.</w:t>
      </w:r>
    </w:p>
    <w:p w14:paraId="0AA9FFF0" w14:textId="77777777" w:rsidR="000B641D" w:rsidRDefault="00A72014" w:rsidP="00E039D2">
      <w:pPr>
        <w:spacing w:after="249" w:line="249" w:lineRule="auto"/>
        <w:ind w:left="-590" w:right="4547"/>
        <w:jc w:val="center"/>
        <w:rPr>
          <w:b/>
          <w:i/>
          <w:color w:val="878887"/>
          <w:sz w:val="24"/>
        </w:rPr>
      </w:pPr>
      <w:r>
        <w:rPr>
          <w:rFonts w:ascii="Times New Roman" w:eastAsia="Times New Roman" w:hAnsi="Times New Roman" w:cs="Times New Roman"/>
          <w:color w:val="181717"/>
        </w:rPr>
        <w:t>MINISTER DO SPRAW UNII EUROPEJSKIEJ</w:t>
      </w:r>
    </w:p>
    <w:p w14:paraId="36CC4D97" w14:textId="77777777" w:rsidR="00A72014" w:rsidRDefault="00A72014" w:rsidP="00E039D2">
      <w:pPr>
        <w:spacing w:after="249" w:line="249" w:lineRule="auto"/>
        <w:ind w:left="-590" w:right="4547"/>
        <w:jc w:val="center"/>
        <w:rPr>
          <w:b/>
          <w:i/>
          <w:color w:val="878887"/>
          <w:sz w:val="24"/>
        </w:rPr>
      </w:pPr>
      <w:r>
        <w:rPr>
          <w:b/>
          <w:i/>
          <w:color w:val="878887"/>
          <w:sz w:val="24"/>
        </w:rPr>
        <w:t>Konrad Szymański</w:t>
      </w:r>
    </w:p>
    <w:p w14:paraId="56C9648F" w14:textId="77777777" w:rsidR="009B1ED8" w:rsidRDefault="009B1ED8" w:rsidP="0036308D">
      <w:pPr>
        <w:spacing w:after="0" w:line="240" w:lineRule="auto"/>
        <w:ind w:right="-45"/>
        <w:jc w:val="both"/>
        <w:rPr>
          <w:b/>
          <w:i/>
          <w:color w:val="878887"/>
          <w:sz w:val="24"/>
        </w:rPr>
      </w:pPr>
    </w:p>
    <w:p w14:paraId="07239F77" w14:textId="77777777" w:rsidR="0036308D" w:rsidRPr="00E0292B" w:rsidRDefault="008F2428" w:rsidP="0036308D">
      <w:pPr>
        <w:spacing w:after="0" w:line="240" w:lineRule="auto"/>
        <w:ind w:right="-45"/>
        <w:jc w:val="both"/>
        <w:rPr>
          <w:color w:val="auto"/>
        </w:rPr>
      </w:pPr>
      <w:r w:rsidRPr="00E0292B">
        <w:rPr>
          <w:color w:val="auto"/>
        </w:rPr>
        <w:t xml:space="preserve">Sygn. </w:t>
      </w:r>
      <w:r w:rsidR="00755E86" w:rsidRPr="00E0292B">
        <w:rPr>
          <w:color w:val="auto"/>
        </w:rPr>
        <w:t>DPUE.920.</w:t>
      </w:r>
      <w:r w:rsidR="00A47E7B" w:rsidRPr="00E0292B">
        <w:rPr>
          <w:color w:val="auto"/>
        </w:rPr>
        <w:t>648</w:t>
      </w:r>
      <w:r w:rsidR="00755E86" w:rsidRPr="00E0292B">
        <w:rPr>
          <w:color w:val="auto"/>
        </w:rPr>
        <w:t>.2022.SŻ(2)</w:t>
      </w:r>
    </w:p>
    <w:p w14:paraId="7CA93FB7" w14:textId="77777777" w:rsidR="003E3818" w:rsidRPr="00E0292B" w:rsidRDefault="0036308D" w:rsidP="0036308D">
      <w:pPr>
        <w:spacing w:after="0" w:line="240" w:lineRule="auto"/>
        <w:ind w:right="-45"/>
        <w:jc w:val="both"/>
        <w:rPr>
          <w:color w:val="auto"/>
        </w:rPr>
      </w:pPr>
      <w:r w:rsidRPr="00E0292B">
        <w:rPr>
          <w:color w:val="auto"/>
        </w:rPr>
        <w:t xml:space="preserve">dot.: </w:t>
      </w:r>
      <w:r w:rsidR="00E0292B" w:rsidRPr="00E0292B">
        <w:rPr>
          <w:color w:val="auto"/>
        </w:rPr>
        <w:t xml:space="preserve">DLUS-I.4601.21.2022 z </w:t>
      </w:r>
      <w:r w:rsidR="00A47E7B" w:rsidRPr="00E0292B">
        <w:rPr>
          <w:color w:val="auto"/>
        </w:rPr>
        <w:t>26.4.2022 r.</w:t>
      </w:r>
    </w:p>
    <w:p w14:paraId="03FE451F" w14:textId="77777777" w:rsidR="00E23D0D" w:rsidRPr="00E0292B" w:rsidRDefault="0036308D" w:rsidP="00CB4E38">
      <w:pPr>
        <w:spacing w:after="0" w:line="240" w:lineRule="auto"/>
        <w:ind w:left="-426"/>
        <w:rPr>
          <w:rFonts w:eastAsia="Times New Roman"/>
          <w:b/>
          <w:color w:val="auto"/>
          <w:sz w:val="24"/>
          <w:szCs w:val="24"/>
        </w:rPr>
      </w:pPr>
      <w:r>
        <w:rPr>
          <w:rFonts w:asciiTheme="minorHAnsi" w:hAnsiTheme="minorHAnsi" w:cs="Times New Roman"/>
          <w:color w:val="auto"/>
          <w:sz w:val="24"/>
        </w:rPr>
        <w:tab/>
      </w:r>
      <w:r>
        <w:rPr>
          <w:rFonts w:asciiTheme="minorHAnsi" w:hAnsiTheme="minorHAnsi" w:cs="Times New Roman"/>
          <w:color w:val="auto"/>
          <w:sz w:val="24"/>
        </w:rPr>
        <w:tab/>
      </w:r>
      <w:r>
        <w:rPr>
          <w:rFonts w:asciiTheme="minorHAnsi" w:hAnsiTheme="minorHAnsi" w:cs="Times New Roman"/>
          <w:color w:val="auto"/>
          <w:sz w:val="24"/>
        </w:rPr>
        <w:tab/>
      </w:r>
      <w:r>
        <w:rPr>
          <w:rFonts w:asciiTheme="minorHAnsi" w:hAnsiTheme="minorHAnsi" w:cs="Times New Roman"/>
          <w:color w:val="auto"/>
          <w:sz w:val="24"/>
        </w:rPr>
        <w:tab/>
      </w:r>
      <w:r>
        <w:rPr>
          <w:rFonts w:asciiTheme="minorHAnsi" w:hAnsiTheme="minorHAnsi" w:cs="Times New Roman"/>
          <w:color w:val="auto"/>
          <w:sz w:val="24"/>
        </w:rPr>
        <w:tab/>
      </w:r>
      <w:r>
        <w:rPr>
          <w:rFonts w:asciiTheme="minorHAnsi" w:hAnsiTheme="minorHAnsi" w:cs="Times New Roman"/>
          <w:color w:val="auto"/>
          <w:sz w:val="24"/>
        </w:rPr>
        <w:tab/>
      </w:r>
      <w:r>
        <w:rPr>
          <w:rFonts w:asciiTheme="minorHAnsi" w:hAnsiTheme="minorHAnsi" w:cs="Times New Roman"/>
          <w:color w:val="auto"/>
          <w:sz w:val="24"/>
        </w:rPr>
        <w:tab/>
      </w:r>
      <w:r w:rsidR="00B9144F">
        <w:rPr>
          <w:rFonts w:asciiTheme="minorHAnsi" w:hAnsiTheme="minorHAnsi" w:cs="Times New Roman"/>
          <w:color w:val="auto"/>
          <w:sz w:val="24"/>
        </w:rPr>
        <w:tab/>
      </w:r>
      <w:r w:rsidR="00E0292B">
        <w:rPr>
          <w:rFonts w:asciiTheme="minorHAnsi" w:hAnsiTheme="minorHAnsi" w:cs="Times New Roman"/>
          <w:color w:val="auto"/>
          <w:sz w:val="24"/>
        </w:rPr>
        <w:tab/>
      </w:r>
      <w:r w:rsidR="001B4D9A" w:rsidRPr="00E0292B">
        <w:rPr>
          <w:rFonts w:eastAsia="Times New Roman"/>
          <w:b/>
          <w:color w:val="auto"/>
          <w:sz w:val="24"/>
          <w:szCs w:val="24"/>
        </w:rPr>
        <w:t>Pan</w:t>
      </w:r>
      <w:r w:rsidR="00E23D0D" w:rsidRPr="00E0292B">
        <w:rPr>
          <w:rFonts w:eastAsia="Times New Roman"/>
          <w:b/>
          <w:color w:val="auto"/>
          <w:sz w:val="24"/>
          <w:szCs w:val="24"/>
        </w:rPr>
        <w:t xml:space="preserve"> </w:t>
      </w:r>
      <w:r w:rsidR="002D3DFD" w:rsidRPr="00E0292B">
        <w:rPr>
          <w:rFonts w:eastAsia="Times New Roman"/>
          <w:b/>
          <w:color w:val="auto"/>
          <w:sz w:val="24"/>
          <w:szCs w:val="24"/>
        </w:rPr>
        <w:t>Zbigniew Ziobro</w:t>
      </w:r>
      <w:r w:rsidR="00700D12" w:rsidRPr="00E0292B">
        <w:rPr>
          <w:rFonts w:eastAsia="Times New Roman"/>
          <w:b/>
          <w:color w:val="auto"/>
          <w:sz w:val="24"/>
          <w:szCs w:val="24"/>
        </w:rPr>
        <w:t xml:space="preserve"> </w:t>
      </w:r>
    </w:p>
    <w:p w14:paraId="4CAE70A1" w14:textId="77777777" w:rsidR="00E23D0D" w:rsidRPr="00E0292B" w:rsidRDefault="00AC7494" w:rsidP="00E0292B">
      <w:pPr>
        <w:spacing w:after="0" w:line="240" w:lineRule="auto"/>
        <w:ind w:left="4956" w:firstLine="708"/>
        <w:rPr>
          <w:rFonts w:eastAsia="Times New Roman"/>
          <w:b/>
          <w:color w:val="auto"/>
          <w:sz w:val="24"/>
          <w:szCs w:val="24"/>
        </w:rPr>
      </w:pPr>
      <w:r w:rsidRPr="00E0292B">
        <w:rPr>
          <w:rFonts w:eastAsia="Times New Roman"/>
          <w:b/>
          <w:color w:val="auto"/>
          <w:sz w:val="24"/>
          <w:szCs w:val="24"/>
        </w:rPr>
        <w:t>Minister</w:t>
      </w:r>
      <w:r w:rsidR="002D3DFD" w:rsidRPr="00E0292B">
        <w:rPr>
          <w:rFonts w:eastAsia="Times New Roman"/>
          <w:b/>
          <w:color w:val="auto"/>
          <w:sz w:val="24"/>
          <w:szCs w:val="24"/>
        </w:rPr>
        <w:t xml:space="preserve"> Sprawiedliwości</w:t>
      </w:r>
    </w:p>
    <w:p w14:paraId="5B23BD6F" w14:textId="77777777" w:rsidR="00E23D0D" w:rsidRPr="00E0292B" w:rsidRDefault="00E23D0D" w:rsidP="00E23D0D">
      <w:pPr>
        <w:spacing w:after="0" w:line="240" w:lineRule="auto"/>
        <w:ind w:left="-426"/>
        <w:rPr>
          <w:rFonts w:eastAsia="Times New Roman"/>
          <w:b/>
          <w:color w:val="auto"/>
          <w:sz w:val="24"/>
          <w:szCs w:val="24"/>
        </w:rPr>
      </w:pPr>
    </w:p>
    <w:p w14:paraId="05272937" w14:textId="77777777" w:rsidR="00E23D0D" w:rsidRPr="00E0292B" w:rsidRDefault="00E23D0D" w:rsidP="00E23D0D">
      <w:pPr>
        <w:autoSpaceDE w:val="0"/>
        <w:autoSpaceDN w:val="0"/>
        <w:adjustRightInd w:val="0"/>
        <w:spacing w:after="0" w:line="240" w:lineRule="auto"/>
        <w:ind w:left="-426"/>
        <w:jc w:val="center"/>
        <w:rPr>
          <w:rFonts w:eastAsia="Times New Roman"/>
          <w:b/>
          <w:sz w:val="24"/>
          <w:szCs w:val="24"/>
        </w:rPr>
      </w:pPr>
    </w:p>
    <w:p w14:paraId="4A64C6F2" w14:textId="77777777" w:rsidR="00E23D0D" w:rsidRPr="00E0292B" w:rsidRDefault="00E23D0D" w:rsidP="00C432E5">
      <w:pPr>
        <w:autoSpaceDE w:val="0"/>
        <w:autoSpaceDN w:val="0"/>
        <w:adjustRightInd w:val="0"/>
        <w:spacing w:after="0" w:line="240" w:lineRule="auto"/>
        <w:jc w:val="center"/>
        <w:rPr>
          <w:rFonts w:eastAsia="Times New Roman"/>
          <w:b/>
          <w:sz w:val="24"/>
          <w:szCs w:val="24"/>
        </w:rPr>
      </w:pPr>
      <w:r w:rsidRPr="00E0292B">
        <w:rPr>
          <w:rFonts w:eastAsia="Times New Roman"/>
          <w:b/>
          <w:sz w:val="24"/>
          <w:szCs w:val="24"/>
        </w:rPr>
        <w:t>Opinia</w:t>
      </w:r>
    </w:p>
    <w:p w14:paraId="173112F3" w14:textId="77777777" w:rsidR="00E23D0D" w:rsidRPr="00E0292B" w:rsidRDefault="00E23D0D" w:rsidP="00400FAC">
      <w:pPr>
        <w:autoSpaceDE w:val="0"/>
        <w:autoSpaceDN w:val="0"/>
        <w:adjustRightInd w:val="0"/>
        <w:spacing w:after="0" w:line="240" w:lineRule="auto"/>
        <w:jc w:val="center"/>
        <w:rPr>
          <w:rFonts w:eastAsia="Times New Roman"/>
          <w:b/>
          <w:i/>
          <w:iCs/>
          <w:sz w:val="24"/>
          <w:szCs w:val="24"/>
        </w:rPr>
      </w:pPr>
      <w:r w:rsidRPr="00E0292B">
        <w:rPr>
          <w:rFonts w:eastAsia="Times New Roman"/>
          <w:b/>
          <w:sz w:val="24"/>
          <w:szCs w:val="24"/>
        </w:rPr>
        <w:t xml:space="preserve">o zgodności z prawem Unii Europejskiej </w:t>
      </w:r>
      <w:r w:rsidR="00A47E7B" w:rsidRPr="00E0292B">
        <w:rPr>
          <w:rFonts w:eastAsia="Times New Roman"/>
          <w:b/>
          <w:i/>
          <w:iCs/>
          <w:sz w:val="24"/>
          <w:szCs w:val="24"/>
        </w:rPr>
        <w:t>projektu ustawy o zmianie ustawy –</w:t>
      </w:r>
      <w:r w:rsidR="00AA0E87" w:rsidRPr="00E0292B">
        <w:rPr>
          <w:rFonts w:eastAsia="Times New Roman"/>
          <w:b/>
          <w:i/>
          <w:iCs/>
          <w:sz w:val="24"/>
          <w:szCs w:val="24"/>
        </w:rPr>
        <w:t xml:space="preserve"> Prawo o ustroju sądów powszechnych, </w:t>
      </w:r>
      <w:r w:rsidRPr="00E0292B">
        <w:rPr>
          <w:rFonts w:eastAsia="Times New Roman"/>
          <w:b/>
          <w:sz w:val="24"/>
          <w:szCs w:val="24"/>
        </w:rPr>
        <w:t>wyrażona przez ministra właściwego do spraw członkostwa Rzeczypospolitej Polskiej w Unii Europejskiej</w:t>
      </w:r>
    </w:p>
    <w:p w14:paraId="50B0B05F" w14:textId="77777777" w:rsidR="00E23D0D" w:rsidRPr="00E0292B" w:rsidRDefault="00E23D0D" w:rsidP="00C432E5">
      <w:pPr>
        <w:spacing w:after="120" w:line="240" w:lineRule="auto"/>
        <w:rPr>
          <w:rFonts w:eastAsia="Times New Roman"/>
          <w:i/>
          <w:color w:val="auto"/>
          <w:sz w:val="24"/>
          <w:szCs w:val="24"/>
        </w:rPr>
      </w:pPr>
    </w:p>
    <w:p w14:paraId="256AF9EA" w14:textId="77777777" w:rsidR="00E23D0D" w:rsidRPr="00E0292B" w:rsidRDefault="00E23D0D" w:rsidP="00C432E5">
      <w:pPr>
        <w:spacing w:after="120" w:line="240" w:lineRule="auto"/>
        <w:rPr>
          <w:rFonts w:eastAsia="Times New Roman"/>
          <w:i/>
          <w:color w:val="auto"/>
          <w:sz w:val="24"/>
          <w:szCs w:val="24"/>
        </w:rPr>
      </w:pPr>
      <w:r w:rsidRPr="00E0292B">
        <w:rPr>
          <w:rFonts w:eastAsia="Times New Roman"/>
          <w:i/>
          <w:color w:val="auto"/>
          <w:sz w:val="24"/>
          <w:szCs w:val="24"/>
        </w:rPr>
        <w:t xml:space="preserve">Szanowny Panie Ministrze,      </w:t>
      </w:r>
    </w:p>
    <w:p w14:paraId="140251D7" w14:textId="77777777" w:rsidR="00B9144F" w:rsidRPr="00E0292B" w:rsidRDefault="00B9144F" w:rsidP="00C432E5">
      <w:pPr>
        <w:spacing w:after="0" w:line="240" w:lineRule="auto"/>
        <w:rPr>
          <w:rFonts w:eastAsia="Times New Roman"/>
          <w:i/>
          <w:color w:val="auto"/>
          <w:sz w:val="24"/>
          <w:szCs w:val="24"/>
        </w:rPr>
      </w:pPr>
    </w:p>
    <w:p w14:paraId="380A51B0" w14:textId="77777777" w:rsidR="00E368A4" w:rsidRPr="00E0292B" w:rsidRDefault="00E368A4" w:rsidP="00E368A4">
      <w:pPr>
        <w:spacing w:after="120" w:line="240" w:lineRule="auto"/>
        <w:jc w:val="both"/>
        <w:rPr>
          <w:rFonts w:eastAsia="Times New Roman"/>
          <w:color w:val="auto"/>
          <w:sz w:val="24"/>
          <w:szCs w:val="24"/>
        </w:rPr>
      </w:pPr>
      <w:r w:rsidRPr="00E0292B">
        <w:rPr>
          <w:rFonts w:eastAsia="Times New Roman"/>
          <w:color w:val="auto"/>
          <w:sz w:val="24"/>
          <w:szCs w:val="24"/>
        </w:rPr>
        <w:t xml:space="preserve">w związku z </w:t>
      </w:r>
      <w:r w:rsidR="009F287A" w:rsidRPr="00E0292B">
        <w:rPr>
          <w:rFonts w:eastAsia="Times New Roman"/>
          <w:color w:val="auto"/>
          <w:sz w:val="24"/>
          <w:szCs w:val="24"/>
        </w:rPr>
        <w:t>przedłożonym projektem ustawy</w:t>
      </w:r>
      <w:r w:rsidRPr="00E0292B">
        <w:rPr>
          <w:rFonts w:eastAsia="Times New Roman"/>
          <w:b/>
          <w:i/>
          <w:color w:val="auto"/>
          <w:sz w:val="24"/>
          <w:szCs w:val="24"/>
        </w:rPr>
        <w:t xml:space="preserve"> </w:t>
      </w:r>
      <w:r w:rsidRPr="00E0292B">
        <w:rPr>
          <w:rFonts w:eastAsia="Times New Roman"/>
          <w:color w:val="auto"/>
          <w:sz w:val="24"/>
          <w:szCs w:val="24"/>
        </w:rPr>
        <w:t>pozwalam sobie wyrazić poniższą opinię.</w:t>
      </w:r>
    </w:p>
    <w:p w14:paraId="7EECA9B2" w14:textId="77777777" w:rsidR="00A47E7B" w:rsidRPr="00E0292B" w:rsidRDefault="00A47E7B" w:rsidP="00E0292B">
      <w:pPr>
        <w:pStyle w:val="Akapitzlist"/>
        <w:numPr>
          <w:ilvl w:val="0"/>
          <w:numId w:val="10"/>
        </w:numPr>
        <w:spacing w:after="120" w:line="240" w:lineRule="auto"/>
        <w:jc w:val="both"/>
        <w:rPr>
          <w:sz w:val="24"/>
          <w:szCs w:val="24"/>
        </w:rPr>
      </w:pPr>
      <w:r w:rsidRPr="00E0292B">
        <w:rPr>
          <w:sz w:val="24"/>
          <w:szCs w:val="24"/>
        </w:rPr>
        <w:t>Projekt ustawy uchyla obecnie obowiązujący art. 53 § 1c ustawy – Prawo o ustroju sądów powszechnych, zgodnie z którym Minister Sprawiedliwości, jako administrator systemu teleinformatycznego obsługującego postępowanie sądowe nie ma dostępu do akt postępowania</w:t>
      </w:r>
      <w:r w:rsidR="00DE588D">
        <w:rPr>
          <w:sz w:val="24"/>
          <w:szCs w:val="24"/>
        </w:rPr>
        <w:t xml:space="preserve"> </w:t>
      </w:r>
      <w:r w:rsidR="00DE588D" w:rsidRPr="00E0292B">
        <w:rPr>
          <w:sz w:val="24"/>
          <w:szCs w:val="24"/>
        </w:rPr>
        <w:t>(art. 1 pkt 2 lit. a)</w:t>
      </w:r>
      <w:r w:rsidR="00DE588D">
        <w:rPr>
          <w:sz w:val="24"/>
          <w:szCs w:val="24"/>
        </w:rPr>
        <w:t xml:space="preserve"> projektu ustawy</w:t>
      </w:r>
      <w:r w:rsidR="00DE588D" w:rsidRPr="00E0292B">
        <w:rPr>
          <w:sz w:val="24"/>
          <w:szCs w:val="24"/>
        </w:rPr>
        <w:t>)</w:t>
      </w:r>
      <w:r w:rsidRPr="00E0292B">
        <w:rPr>
          <w:sz w:val="24"/>
          <w:szCs w:val="24"/>
        </w:rPr>
        <w:t xml:space="preserve">. W uzasadnieniu do projektu wskazano, że propozycja ta wprowadza ujednolicenie konieczne z uwagi na brzmienie projektowanego art. 175da § 2 ustawy. </w:t>
      </w:r>
    </w:p>
    <w:p w14:paraId="58370CEC" w14:textId="77777777" w:rsidR="00A47E7B" w:rsidRPr="00E0292B" w:rsidRDefault="00A47E7B" w:rsidP="00E0292B">
      <w:pPr>
        <w:spacing w:after="120" w:line="240" w:lineRule="auto"/>
        <w:ind w:left="708"/>
        <w:jc w:val="both"/>
        <w:rPr>
          <w:sz w:val="24"/>
          <w:szCs w:val="24"/>
        </w:rPr>
      </w:pPr>
      <w:r w:rsidRPr="00E0292B">
        <w:rPr>
          <w:sz w:val="24"/>
          <w:szCs w:val="24"/>
        </w:rPr>
        <w:t xml:space="preserve">Chciałbym </w:t>
      </w:r>
      <w:r w:rsidR="00420758" w:rsidRPr="00E0292B">
        <w:rPr>
          <w:sz w:val="24"/>
          <w:szCs w:val="24"/>
        </w:rPr>
        <w:t xml:space="preserve">jednak </w:t>
      </w:r>
      <w:r w:rsidRPr="00E0292B">
        <w:rPr>
          <w:sz w:val="24"/>
          <w:szCs w:val="24"/>
        </w:rPr>
        <w:t xml:space="preserve">zauważyć, że </w:t>
      </w:r>
      <w:r w:rsidR="00D25F2D">
        <w:rPr>
          <w:sz w:val="24"/>
          <w:szCs w:val="24"/>
        </w:rPr>
        <w:t xml:space="preserve">projektowany </w:t>
      </w:r>
      <w:r w:rsidRPr="00E0292B">
        <w:rPr>
          <w:sz w:val="24"/>
          <w:szCs w:val="24"/>
        </w:rPr>
        <w:t xml:space="preserve">art. 175da § 2 </w:t>
      </w:r>
      <w:r w:rsidR="00D25F2D" w:rsidRPr="00D25F2D">
        <w:rPr>
          <w:sz w:val="24"/>
          <w:szCs w:val="24"/>
        </w:rPr>
        <w:t>ustawy – Prawo o ustroju sądów powszechnych</w:t>
      </w:r>
      <w:r w:rsidRPr="00E0292B">
        <w:rPr>
          <w:sz w:val="24"/>
          <w:szCs w:val="24"/>
        </w:rPr>
        <w:t xml:space="preserve"> wprowadza nowe zasady współadministrowania danych w systemach teleinformatycznych. W tym zakresie powinien zatem obowiązywać projektowany art. 175ca </w:t>
      </w:r>
      <w:r w:rsidR="00D25F2D" w:rsidRPr="00D25F2D">
        <w:rPr>
          <w:sz w:val="24"/>
          <w:szCs w:val="24"/>
        </w:rPr>
        <w:t>ustawy – Prawo o ustroju sądów powszechnych</w:t>
      </w:r>
      <w:r w:rsidRPr="00E0292B">
        <w:rPr>
          <w:sz w:val="24"/>
          <w:szCs w:val="24"/>
        </w:rPr>
        <w:t xml:space="preserve">, zgodnie z którym Minister Sprawiedliwości przetwarza dane, w tym dane osobowe uczestników postępowania sądowego, znajdujące się w systemach teleinformatycznych w zakresie niezbędnym dla realizacji zadań związanych z informatyzacją sądownictwa (art. 1 pkt 3 projektu ustawy). Tymczasem uchylany art. 53 § 1c ustawy ma szerszy zakres niż projektowane art. 175ca i art. 175da </w:t>
      </w:r>
      <w:r w:rsidR="00D25F2D" w:rsidRPr="00D25F2D">
        <w:rPr>
          <w:sz w:val="24"/>
          <w:szCs w:val="24"/>
        </w:rPr>
        <w:t>ustawy – Prawo o ustroju sądów powszechnych</w:t>
      </w:r>
      <w:r w:rsidRPr="00E0292B">
        <w:rPr>
          <w:sz w:val="24"/>
          <w:szCs w:val="24"/>
        </w:rPr>
        <w:t xml:space="preserve">, dotyczy bowiem braku dostępu do samych akt postępowania sądowego (w których również będą znajdować się dane osobowe), a nie tylko danych przetwarzanych w ramach systemów teleinformatycznych. </w:t>
      </w:r>
    </w:p>
    <w:p w14:paraId="52F78BEE" w14:textId="77777777" w:rsidR="00A47E7B" w:rsidRPr="00E0292B" w:rsidRDefault="00A47E7B" w:rsidP="00E0292B">
      <w:pPr>
        <w:spacing w:after="120" w:line="240" w:lineRule="auto"/>
        <w:ind w:left="708"/>
        <w:jc w:val="both"/>
        <w:rPr>
          <w:sz w:val="24"/>
          <w:szCs w:val="24"/>
        </w:rPr>
      </w:pPr>
      <w:r w:rsidRPr="00E0292B">
        <w:rPr>
          <w:sz w:val="24"/>
          <w:szCs w:val="24"/>
        </w:rPr>
        <w:t xml:space="preserve">W zakresie w jakim Minister Sprawiedliwości będzie wykonywał zadania w ramach realizacji zadań związanych z informatyzacją sądownictwa (zgodnie z projektowanym art. 175da) dostęp do samych akt postępowania nie będzie zatem niezbędny w rozumieniu art. 5 ust. 1 lit. c) </w:t>
      </w:r>
      <w:r w:rsidRPr="00D25F2D">
        <w:rPr>
          <w:i/>
          <w:sz w:val="24"/>
          <w:szCs w:val="24"/>
        </w:rPr>
        <w:t xml:space="preserve">rozporządzenia Parlamentu Europejskiego i Rady (UE) 2016/679 z dnia 27 kwietnia 2016 r. w sprawie ochrony osób fizycznych w związku z przetwarzaniem danych osobowych i w sprawie swobodnego przepływu takich </w:t>
      </w:r>
      <w:r w:rsidRPr="00D25F2D">
        <w:rPr>
          <w:i/>
          <w:sz w:val="24"/>
          <w:szCs w:val="24"/>
        </w:rPr>
        <w:lastRenderedPageBreak/>
        <w:t>danych oraz uchylenia dyrektywy 95/46/WE (ogólne rozporządzenie o ochronie danych)</w:t>
      </w:r>
      <w:r w:rsidRPr="00E0292B">
        <w:rPr>
          <w:sz w:val="24"/>
          <w:szCs w:val="24"/>
        </w:rPr>
        <w:t xml:space="preserve">. Zgodnie z tym przepisem dane osobowe muszą być adekwatne, stosowne oraz ograniczone do tego, co niezbędne do celów, w których są przetwarzane („minimalizacja danych”). W tym kontekście uchylenie omawianego art. 53 § 1c ustawy – Prawo o ustroju sądów powszechnych nie wydaje się być </w:t>
      </w:r>
      <w:r w:rsidR="00420758" w:rsidRPr="00E0292B">
        <w:rPr>
          <w:sz w:val="24"/>
          <w:szCs w:val="24"/>
        </w:rPr>
        <w:t xml:space="preserve">zatem </w:t>
      </w:r>
      <w:r w:rsidRPr="00E0292B">
        <w:rPr>
          <w:sz w:val="24"/>
          <w:szCs w:val="24"/>
        </w:rPr>
        <w:t xml:space="preserve">zasadne. </w:t>
      </w:r>
    </w:p>
    <w:p w14:paraId="7DC00D43" w14:textId="77777777" w:rsidR="00A47E7B" w:rsidRPr="00E0292B" w:rsidRDefault="00A47E7B" w:rsidP="00E0292B">
      <w:pPr>
        <w:spacing w:after="120" w:line="240" w:lineRule="auto"/>
        <w:ind w:left="708"/>
        <w:jc w:val="both"/>
        <w:rPr>
          <w:sz w:val="24"/>
          <w:szCs w:val="24"/>
        </w:rPr>
      </w:pPr>
      <w:r w:rsidRPr="00E0292B">
        <w:rPr>
          <w:sz w:val="24"/>
          <w:szCs w:val="24"/>
        </w:rPr>
        <w:t xml:space="preserve">Jednocześnie projektodawca wskazał w uzasadnieniu również, że zakaz z art. 53 § 1c ustawy – Prawo o ustroju sądów powszechnych w jego opinii nie jest konieczny - nie powstaje bowiem ryzyko związane z możliwym udostępnieniem akt postępowania sądowego Ministrowi Sprawiedliwości i innym podmiotom odpowiedzialnym za administrację systemów informatycznych, w których akta są przechowywane - przetwarzanie danych będzie odbywać się na zasadach i w zakresie zgodnym z obowiązującymi przepisami, jak również w zakresie niezbędnym dla potrzeb prowadzonego postępowania. </w:t>
      </w:r>
    </w:p>
    <w:p w14:paraId="4BC9C172" w14:textId="77777777" w:rsidR="00A47E7B" w:rsidRPr="00E0292B" w:rsidRDefault="00A47E7B" w:rsidP="00E0292B">
      <w:pPr>
        <w:spacing w:after="120" w:line="240" w:lineRule="auto"/>
        <w:ind w:left="708"/>
        <w:jc w:val="both"/>
        <w:rPr>
          <w:sz w:val="24"/>
          <w:szCs w:val="24"/>
        </w:rPr>
      </w:pPr>
      <w:r w:rsidRPr="00E0292B">
        <w:rPr>
          <w:sz w:val="24"/>
          <w:szCs w:val="24"/>
        </w:rPr>
        <w:t>Wyjaśnienia wymaga zatem kwestia zasad przetwarzania danych we wskazanym przez resort sprawiedliwości zakresie, w tym kwestia tego o jakie obowiązujące przepisy chodzi. Przedstawienie ww. wyjaśnień pozwoli na ocenę projektowanego przepisu pod kątem zasady zgodności z prawem, rzetelności i przejrzystości, zasadą ograniczenia celu oraz minimalizacji danych (art. 5 ust. 1 lit. a), b) oraz c) rozporządzenia 2016/679).</w:t>
      </w:r>
    </w:p>
    <w:p w14:paraId="160F00DE" w14:textId="77777777" w:rsidR="00A47E7B" w:rsidRPr="00DA39B3" w:rsidRDefault="00A47E7B" w:rsidP="008D1AA5">
      <w:pPr>
        <w:pStyle w:val="Akapitzlist"/>
        <w:numPr>
          <w:ilvl w:val="0"/>
          <w:numId w:val="10"/>
        </w:numPr>
        <w:spacing w:after="120" w:line="240" w:lineRule="auto"/>
        <w:ind w:left="708"/>
        <w:jc w:val="both"/>
        <w:rPr>
          <w:sz w:val="24"/>
          <w:szCs w:val="24"/>
        </w:rPr>
      </w:pPr>
      <w:r w:rsidRPr="00DA39B3">
        <w:rPr>
          <w:sz w:val="24"/>
          <w:szCs w:val="24"/>
        </w:rPr>
        <w:t xml:space="preserve">Zgodnie z projektowanym art. 175ca </w:t>
      </w:r>
      <w:r w:rsidR="00DA39B3" w:rsidRPr="00DA39B3">
        <w:rPr>
          <w:sz w:val="24"/>
          <w:szCs w:val="24"/>
        </w:rPr>
        <w:t xml:space="preserve">ustawy – Prawo o ustroju sądów powszechnych </w:t>
      </w:r>
      <w:r w:rsidRPr="00DA39B3">
        <w:rPr>
          <w:sz w:val="24"/>
          <w:szCs w:val="24"/>
        </w:rPr>
        <w:t>(art. 1 pkt 3 projektu) Minister Sprawiedliwości przetwarza dane, w tym dane osobowe uczestników postępowania sądowego, znajdujące się w systemach teleinformatycznych w zakresie niezbędnym dla realizacji zadań związanych z informatyzacją sądownictwa (art. 1 pkt 3 projektu).</w:t>
      </w:r>
      <w:r w:rsidR="00DA39B3">
        <w:rPr>
          <w:sz w:val="24"/>
          <w:szCs w:val="24"/>
        </w:rPr>
        <w:t xml:space="preserve"> </w:t>
      </w:r>
      <w:r w:rsidRPr="00DA39B3">
        <w:rPr>
          <w:sz w:val="24"/>
          <w:szCs w:val="24"/>
        </w:rPr>
        <w:t>W uzasadnieniu do projektu wskazano, że zakres i rodzaj przetwarzanych danych będzie uzależniony od tego, jakie dane będą niezbędne dla realizacji poszczególnych zadań.</w:t>
      </w:r>
    </w:p>
    <w:p w14:paraId="58A0FEF1" w14:textId="77777777" w:rsidR="00A47E7B" w:rsidRPr="00E0292B" w:rsidRDefault="00A47E7B" w:rsidP="00E0292B">
      <w:pPr>
        <w:spacing w:after="120" w:line="240" w:lineRule="auto"/>
        <w:ind w:left="708"/>
        <w:jc w:val="both"/>
        <w:rPr>
          <w:sz w:val="24"/>
          <w:szCs w:val="24"/>
        </w:rPr>
      </w:pPr>
      <w:r w:rsidRPr="00E0292B">
        <w:rPr>
          <w:sz w:val="24"/>
          <w:szCs w:val="24"/>
        </w:rPr>
        <w:t>Zwracam uwagę na to, że zgodnie ze wspomnianą zasadą minimalizacji danych (art. 5 ust. 1 lit. c) rozporządzenia 2016/679) katalogi danych przetwarzanych danych osobowych powinny być ograniczone do tego, co konieczne.</w:t>
      </w:r>
      <w:r w:rsidR="00DA39B3">
        <w:rPr>
          <w:sz w:val="24"/>
          <w:szCs w:val="24"/>
        </w:rPr>
        <w:t xml:space="preserve"> </w:t>
      </w:r>
      <w:r w:rsidR="00420758" w:rsidRPr="00E0292B">
        <w:rPr>
          <w:sz w:val="24"/>
          <w:szCs w:val="24"/>
        </w:rPr>
        <w:t xml:space="preserve">W związku z tym zasadne jest rozważenie </w:t>
      </w:r>
      <w:r w:rsidRPr="00E0292B">
        <w:rPr>
          <w:sz w:val="24"/>
          <w:szCs w:val="24"/>
        </w:rPr>
        <w:t xml:space="preserve">wprowadzenia zamkniętego katalogu danych, które mogą być przetwarzane na tej podstawie. </w:t>
      </w:r>
    </w:p>
    <w:p w14:paraId="33614987" w14:textId="77777777" w:rsidR="00A47E7B" w:rsidRPr="00E0292B" w:rsidRDefault="00A47E7B" w:rsidP="00DA39B3">
      <w:pPr>
        <w:pStyle w:val="Akapitzlist"/>
        <w:numPr>
          <w:ilvl w:val="0"/>
          <w:numId w:val="10"/>
        </w:numPr>
        <w:spacing w:after="120" w:line="240" w:lineRule="auto"/>
        <w:jc w:val="both"/>
        <w:rPr>
          <w:sz w:val="24"/>
          <w:szCs w:val="24"/>
          <w:lang w:bidi="pl-PL"/>
        </w:rPr>
      </w:pPr>
      <w:r w:rsidRPr="00E0292B">
        <w:rPr>
          <w:sz w:val="24"/>
          <w:szCs w:val="24"/>
        </w:rPr>
        <w:t xml:space="preserve">Zgodnie z projektowanym art. 175da § 1 </w:t>
      </w:r>
      <w:r w:rsidR="00DA39B3" w:rsidRPr="00DA39B3">
        <w:rPr>
          <w:sz w:val="24"/>
          <w:szCs w:val="24"/>
        </w:rPr>
        <w:t>ustawy – Prawo o ustroju sądów powszechnych</w:t>
      </w:r>
      <w:r w:rsidR="00DA39B3">
        <w:rPr>
          <w:sz w:val="24"/>
          <w:szCs w:val="24"/>
        </w:rPr>
        <w:t xml:space="preserve"> </w:t>
      </w:r>
      <w:r w:rsidRPr="00E0292B">
        <w:rPr>
          <w:sz w:val="24"/>
          <w:szCs w:val="24"/>
        </w:rPr>
        <w:t>(art. 1 pkt 4 projektu)</w:t>
      </w:r>
      <w:r w:rsidR="00DA39B3">
        <w:rPr>
          <w:sz w:val="24"/>
          <w:szCs w:val="24"/>
        </w:rPr>
        <w:t>,</w:t>
      </w:r>
      <w:r w:rsidRPr="00E0292B">
        <w:rPr>
          <w:sz w:val="24"/>
          <w:szCs w:val="24"/>
        </w:rPr>
        <w:t xml:space="preserve"> jeżeli co najmniej dwóch administratorów wspólnie ustala cele i sposoby przetwarzania danych osobowych w ramach jednego zbioru danych </w:t>
      </w:r>
      <w:r w:rsidRPr="00E0292B">
        <w:rPr>
          <w:sz w:val="24"/>
          <w:szCs w:val="24"/>
          <w:lang w:bidi="pl-PL"/>
        </w:rPr>
        <w:t xml:space="preserve">osobowych, stają się oni współadministratorami. Stanowi to powtórzenie art. 26 ust. 1 zdanie pierwsze rozporządzenia 2016/679. </w:t>
      </w:r>
    </w:p>
    <w:p w14:paraId="364EA20D" w14:textId="77777777" w:rsidR="00A47E7B" w:rsidRPr="00E0292B" w:rsidRDefault="00A47E7B" w:rsidP="00E0292B">
      <w:pPr>
        <w:spacing w:after="120" w:line="240" w:lineRule="auto"/>
        <w:ind w:left="708"/>
        <w:jc w:val="both"/>
        <w:rPr>
          <w:sz w:val="24"/>
          <w:szCs w:val="24"/>
          <w:lang w:bidi="pl-PL"/>
        </w:rPr>
      </w:pPr>
      <w:r w:rsidRPr="00E0292B">
        <w:rPr>
          <w:sz w:val="24"/>
          <w:szCs w:val="24"/>
          <w:lang w:bidi="pl-PL"/>
        </w:rPr>
        <w:t>W związku z tym przypominam, że zgodnie z art. 288 TFUE rozporządzenie ma zasięg ogólny, wiąże w całości i jest bezpośrednio stosowane we wszystkich państwach członkowskich. Ponadto, ponieważ rozporządzenie (…) wiąże w całości i jest bezpośrednio stosowane we wszystkich państwach członkowskich, nie mogą one (…) podejmować działań na rzecz wykonania rozporządzenia, których przedmiotem byłaby zmiana znaczenia lub uzupełnienie jego przepisów</w:t>
      </w:r>
      <w:r w:rsidRPr="00E0292B">
        <w:rPr>
          <w:sz w:val="24"/>
          <w:szCs w:val="24"/>
          <w:vertAlign w:val="superscript"/>
          <w:lang w:bidi="pl-PL"/>
        </w:rPr>
        <w:footnoteReference w:id="1"/>
      </w:r>
      <w:r w:rsidRPr="00E0292B">
        <w:rPr>
          <w:sz w:val="24"/>
          <w:szCs w:val="24"/>
          <w:lang w:bidi="pl-PL"/>
        </w:rPr>
        <w:t xml:space="preserve">. W przepisach ustawy nie należy zatem powtarzać ani modyfikować treści rozporządzenia 2016/679. </w:t>
      </w:r>
    </w:p>
    <w:p w14:paraId="01AB96AE" w14:textId="77777777" w:rsidR="00A47E7B" w:rsidRPr="00E0292B" w:rsidRDefault="00A47E7B" w:rsidP="00E0292B">
      <w:pPr>
        <w:spacing w:after="120" w:line="240" w:lineRule="auto"/>
        <w:ind w:left="708"/>
        <w:jc w:val="both"/>
        <w:rPr>
          <w:sz w:val="24"/>
          <w:szCs w:val="24"/>
          <w:lang w:bidi="pl-PL"/>
        </w:rPr>
      </w:pPr>
      <w:r w:rsidRPr="00E0292B">
        <w:rPr>
          <w:sz w:val="24"/>
          <w:szCs w:val="24"/>
          <w:lang w:bidi="pl-PL"/>
        </w:rPr>
        <w:t xml:space="preserve">Ta sama uwaga dotyczy również </w:t>
      </w:r>
      <w:r w:rsidR="00EF4923">
        <w:rPr>
          <w:sz w:val="24"/>
          <w:szCs w:val="24"/>
          <w:lang w:bidi="pl-PL"/>
        </w:rPr>
        <w:t xml:space="preserve">projektowanego </w:t>
      </w:r>
      <w:r w:rsidRPr="00E0292B">
        <w:rPr>
          <w:sz w:val="24"/>
          <w:szCs w:val="24"/>
          <w:lang w:bidi="pl-PL"/>
        </w:rPr>
        <w:t>art. 175da § 3</w:t>
      </w:r>
      <w:r w:rsidR="00586742" w:rsidRPr="00586742">
        <w:t xml:space="preserve"> </w:t>
      </w:r>
      <w:r w:rsidR="00586742" w:rsidRPr="00586742">
        <w:rPr>
          <w:sz w:val="24"/>
          <w:szCs w:val="24"/>
          <w:lang w:bidi="pl-PL"/>
        </w:rPr>
        <w:t>ustawy – Prawo o ustroju sądów powszechnych</w:t>
      </w:r>
      <w:r w:rsidRPr="00E0292B">
        <w:rPr>
          <w:sz w:val="24"/>
          <w:szCs w:val="24"/>
          <w:lang w:bidi="pl-PL"/>
        </w:rPr>
        <w:t xml:space="preserve"> (art. 1 pkt 4 projektu), zgodnie z którym </w:t>
      </w:r>
      <w:proofErr w:type="spellStart"/>
      <w:r w:rsidRPr="00E0292B">
        <w:rPr>
          <w:sz w:val="24"/>
          <w:szCs w:val="24"/>
          <w:lang w:bidi="pl-PL"/>
        </w:rPr>
        <w:t>współadministratorzy</w:t>
      </w:r>
      <w:proofErr w:type="spellEnd"/>
      <w:r w:rsidRPr="00E0292B">
        <w:rPr>
          <w:sz w:val="24"/>
          <w:szCs w:val="24"/>
          <w:lang w:bidi="pl-PL"/>
        </w:rPr>
        <w:t xml:space="preserve"> uzgadniają w drodze pisemnego porozumienia podział swoich obowiązków, chyba że przepisy prawa, którym podlegają, określają przypadające im obowiązki i ich zakres. Konieczność dokonania w tym zakresie </w:t>
      </w:r>
      <w:r w:rsidR="00420758" w:rsidRPr="00E0292B">
        <w:rPr>
          <w:sz w:val="24"/>
          <w:szCs w:val="24"/>
          <w:lang w:bidi="pl-PL"/>
        </w:rPr>
        <w:t xml:space="preserve">uzgodnień </w:t>
      </w:r>
      <w:r w:rsidRPr="00E0292B">
        <w:rPr>
          <w:sz w:val="24"/>
          <w:szCs w:val="24"/>
          <w:lang w:bidi="pl-PL"/>
        </w:rPr>
        <w:t xml:space="preserve">określona została bowiem w art. 26 ust. 1 zdanie drugie rozporządzenia 2016/679. Jeśli natomiast projektodawca chciał podkreślić, że uzgodnienia te powinny zostać zawarte na piśmie, konieczne jest odpowiednie przeredagowanie projektowanego przepisu, tak by nie powtarzał treści ww. artykułu rozporządzenia 2016/679. </w:t>
      </w:r>
    </w:p>
    <w:p w14:paraId="2EC04F67" w14:textId="77777777" w:rsidR="00A47E7B" w:rsidRPr="00E0292B" w:rsidRDefault="00A47E7B" w:rsidP="00E0292B">
      <w:pPr>
        <w:pStyle w:val="Akapitzlist"/>
        <w:numPr>
          <w:ilvl w:val="0"/>
          <w:numId w:val="10"/>
        </w:numPr>
        <w:spacing w:after="120" w:line="240" w:lineRule="auto"/>
        <w:contextualSpacing w:val="0"/>
        <w:jc w:val="both"/>
        <w:rPr>
          <w:sz w:val="24"/>
          <w:szCs w:val="24"/>
          <w:lang w:bidi="pl-PL"/>
        </w:rPr>
      </w:pPr>
      <w:r w:rsidRPr="00E0292B">
        <w:rPr>
          <w:sz w:val="24"/>
          <w:szCs w:val="24"/>
          <w:lang w:bidi="pl-PL"/>
        </w:rPr>
        <w:t>Jednocześnie niepoprawna z punktu widzenia art. 26 ust. 1 rozporządzenia 2016/679 wydaje się konstrukcja projektowanego art. 175</w:t>
      </w:r>
      <w:r w:rsidR="00420758" w:rsidRPr="00E0292B">
        <w:rPr>
          <w:sz w:val="24"/>
          <w:szCs w:val="24"/>
          <w:lang w:bidi="pl-PL"/>
        </w:rPr>
        <w:t>da § 2</w:t>
      </w:r>
      <w:r w:rsidRPr="00E0292B">
        <w:rPr>
          <w:sz w:val="24"/>
          <w:szCs w:val="24"/>
          <w:lang w:bidi="pl-PL"/>
        </w:rPr>
        <w:t xml:space="preserve"> ustawy</w:t>
      </w:r>
      <w:r w:rsidR="00420758" w:rsidRPr="00E0292B">
        <w:rPr>
          <w:sz w:val="24"/>
          <w:szCs w:val="24"/>
          <w:lang w:bidi="pl-PL"/>
        </w:rPr>
        <w:t xml:space="preserve"> – Prawo o ustroju sądów powszechnych</w:t>
      </w:r>
      <w:r w:rsidRPr="00E0292B">
        <w:rPr>
          <w:sz w:val="24"/>
          <w:szCs w:val="24"/>
          <w:lang w:bidi="pl-PL"/>
        </w:rPr>
        <w:t xml:space="preserve">. Stanowi on, że współadministratorami danych osobowych przetwarzanych w systemach teleinformatycznych wspierających działalność administracyjną sądów, w systemach teleinformatycznych obsługujących postępowania sądowe lub ich części, w tym w systemach, w których tworzy się lub przetwarza akta sprawy, w systemach teleinformatycznych, w których są prowadzone rejestry sądowe, w systemach teleinformatycznych, w których są prowadzone urządzenia ewidencyjne lub w innych systemach teleinformatycznych wykorzystywanych w działalności sądów (sądowe systemy teleinformatyczne), są sądy w ramach sprawowania wymiaru sprawiedliwości albo realizacji zadań z zakresu ochrony prawnej, prezesi właściwych sądów, dyrektorzy właściwych sądów oraz Minister Sprawiedliwości w ramach realizowanych zadań. </w:t>
      </w:r>
    </w:p>
    <w:p w14:paraId="22B2F31F" w14:textId="77777777" w:rsidR="00A47E7B" w:rsidRPr="00E0292B" w:rsidRDefault="00420758" w:rsidP="00E0292B">
      <w:pPr>
        <w:pStyle w:val="Akapitzlist"/>
        <w:spacing w:after="120" w:line="240" w:lineRule="auto"/>
        <w:ind w:left="708"/>
        <w:contextualSpacing w:val="0"/>
        <w:jc w:val="both"/>
        <w:rPr>
          <w:sz w:val="24"/>
          <w:szCs w:val="24"/>
          <w:lang w:bidi="pl-PL"/>
        </w:rPr>
      </w:pPr>
      <w:r w:rsidRPr="00E0292B">
        <w:rPr>
          <w:sz w:val="24"/>
          <w:szCs w:val="24"/>
          <w:lang w:bidi="pl-PL"/>
        </w:rPr>
        <w:t>Natomiast zgodnie z a</w:t>
      </w:r>
      <w:r w:rsidR="00A47E7B" w:rsidRPr="00E0292B">
        <w:rPr>
          <w:sz w:val="24"/>
          <w:szCs w:val="24"/>
          <w:lang w:bidi="pl-PL"/>
        </w:rPr>
        <w:t xml:space="preserve">rt. 26 ust. 1 </w:t>
      </w:r>
      <w:r w:rsidRPr="00E0292B">
        <w:rPr>
          <w:sz w:val="24"/>
          <w:szCs w:val="24"/>
          <w:lang w:bidi="pl-PL"/>
        </w:rPr>
        <w:t xml:space="preserve">zdanie pierwsze </w:t>
      </w:r>
      <w:r w:rsidR="00A47E7B" w:rsidRPr="00E0292B">
        <w:rPr>
          <w:sz w:val="24"/>
          <w:szCs w:val="24"/>
          <w:lang w:bidi="pl-PL"/>
        </w:rPr>
        <w:t>rozporządzenia 2016/679</w:t>
      </w:r>
      <w:r w:rsidR="00586742">
        <w:rPr>
          <w:sz w:val="24"/>
          <w:szCs w:val="24"/>
          <w:lang w:bidi="pl-PL"/>
        </w:rPr>
        <w:t>,</w:t>
      </w:r>
      <w:r w:rsidR="00A47E7B" w:rsidRPr="00E0292B">
        <w:rPr>
          <w:sz w:val="24"/>
          <w:szCs w:val="24"/>
          <w:lang w:bidi="pl-PL"/>
        </w:rPr>
        <w:t xml:space="preserve"> jeżeli co najmniej dwóch administratorów wspólnie ustala cele i sposoby przetwarzania, są oni współadministratorami. </w:t>
      </w:r>
    </w:p>
    <w:p w14:paraId="4625A86E" w14:textId="77777777" w:rsidR="00A47E7B" w:rsidRPr="00E0292B" w:rsidRDefault="00A47E7B" w:rsidP="00E0292B">
      <w:pPr>
        <w:pStyle w:val="Akapitzlist"/>
        <w:spacing w:after="120" w:line="240" w:lineRule="auto"/>
        <w:ind w:left="708"/>
        <w:contextualSpacing w:val="0"/>
        <w:jc w:val="both"/>
        <w:rPr>
          <w:sz w:val="24"/>
          <w:szCs w:val="24"/>
          <w:lang w:bidi="pl-PL"/>
        </w:rPr>
      </w:pPr>
      <w:r w:rsidRPr="00E0292B">
        <w:rPr>
          <w:sz w:val="24"/>
          <w:szCs w:val="24"/>
          <w:lang w:bidi="pl-PL"/>
        </w:rPr>
        <w:t xml:space="preserve">Tymczasem </w:t>
      </w:r>
      <w:r w:rsidR="00FB71DD" w:rsidRPr="00E0292B">
        <w:rPr>
          <w:sz w:val="24"/>
          <w:szCs w:val="24"/>
          <w:lang w:bidi="pl-PL"/>
        </w:rPr>
        <w:t xml:space="preserve">poszczególne </w:t>
      </w:r>
      <w:r w:rsidRPr="00E0292B">
        <w:rPr>
          <w:sz w:val="24"/>
          <w:szCs w:val="24"/>
          <w:lang w:bidi="pl-PL"/>
        </w:rPr>
        <w:t xml:space="preserve">sądy w ramach sprawowania wymiaru sprawiedliwości albo realizacji zadań z zakresu ochrony prawnej są administratorami danych znajdujących się w systemach teleinformatycznych, a nie ich </w:t>
      </w:r>
      <w:proofErr w:type="spellStart"/>
      <w:r w:rsidRPr="00E0292B">
        <w:rPr>
          <w:sz w:val="24"/>
          <w:szCs w:val="24"/>
          <w:lang w:bidi="pl-PL"/>
        </w:rPr>
        <w:t>współadministatorami</w:t>
      </w:r>
      <w:proofErr w:type="spellEnd"/>
      <w:r w:rsidRPr="00E0292B">
        <w:rPr>
          <w:sz w:val="24"/>
          <w:szCs w:val="24"/>
          <w:lang w:bidi="pl-PL"/>
        </w:rPr>
        <w:t xml:space="preserve">. Współadministratorami mogą być natomiast np. pozostałe podmioty wskazane w projektowanym przepisie w zakresie zadań związanych z tworzeniem i utrzymywaniem systemów teleinformatycznych obsługujących postępowania sądowe lub wspierających działalność administracyjną sądów, z projektowanych przepisów wynika bowiem, że w tym zakresie podmioty te będą wspólnie ustalać cele i sposoby przetwarzania danych. Projektowany art. 175da § 2 wymaga zatem dalszej analizy i odpowiedniego przeredagowania. </w:t>
      </w:r>
    </w:p>
    <w:p w14:paraId="2DBB5855" w14:textId="77777777" w:rsidR="00CE6D73" w:rsidRPr="00586742" w:rsidRDefault="00B85702" w:rsidP="00586742">
      <w:pPr>
        <w:pStyle w:val="Akapitzlist"/>
        <w:ind w:left="0"/>
        <w:contextualSpacing w:val="0"/>
        <w:jc w:val="both"/>
        <w:rPr>
          <w:sz w:val="24"/>
          <w:szCs w:val="24"/>
          <w:lang w:bidi="pl-PL"/>
        </w:rPr>
      </w:pPr>
      <w:r w:rsidRPr="00E0292B">
        <w:rPr>
          <w:rFonts w:eastAsia="Times New Roman"/>
          <w:b/>
          <w:color w:val="auto"/>
          <w:sz w:val="24"/>
          <w:szCs w:val="24"/>
        </w:rPr>
        <w:t xml:space="preserve">Projekt ustawy nie jest </w:t>
      </w:r>
      <w:r w:rsidR="0094598A" w:rsidRPr="00E0292B">
        <w:rPr>
          <w:rFonts w:eastAsia="Times New Roman"/>
          <w:b/>
          <w:color w:val="auto"/>
          <w:sz w:val="24"/>
          <w:szCs w:val="24"/>
        </w:rPr>
        <w:t>sprzeczny</w:t>
      </w:r>
      <w:r w:rsidR="00A24BF6" w:rsidRPr="00E0292B">
        <w:rPr>
          <w:rFonts w:eastAsia="Times New Roman"/>
          <w:b/>
          <w:color w:val="auto"/>
          <w:sz w:val="24"/>
          <w:szCs w:val="24"/>
        </w:rPr>
        <w:t xml:space="preserve"> z prawem Unii Europejskiej</w:t>
      </w:r>
      <w:r w:rsidR="0073193E" w:rsidRPr="00E0292B">
        <w:rPr>
          <w:rFonts w:eastAsia="Times New Roman"/>
          <w:b/>
          <w:color w:val="auto"/>
          <w:sz w:val="24"/>
          <w:szCs w:val="24"/>
        </w:rPr>
        <w:t>,</w:t>
      </w:r>
      <w:r w:rsidR="00A24BF6" w:rsidRPr="00E0292B">
        <w:rPr>
          <w:rFonts w:eastAsia="Times New Roman"/>
          <w:b/>
          <w:color w:val="auto"/>
          <w:sz w:val="24"/>
          <w:szCs w:val="24"/>
        </w:rPr>
        <w:t xml:space="preserve"> z zastrzeżeniem uwag zawartych w niniejszej opinii.</w:t>
      </w:r>
    </w:p>
    <w:p w14:paraId="07387C97" w14:textId="77777777" w:rsidR="000A5786" w:rsidRPr="00E0292B" w:rsidRDefault="00586742" w:rsidP="000A5786">
      <w:pPr>
        <w:ind w:left="4956" w:right="-1" w:firstLine="284"/>
        <w:jc w:val="both"/>
        <w:rPr>
          <w:i/>
          <w:sz w:val="24"/>
          <w:szCs w:val="24"/>
        </w:rPr>
      </w:pPr>
      <w:r>
        <w:rPr>
          <w:i/>
          <w:sz w:val="24"/>
          <w:szCs w:val="24"/>
        </w:rPr>
        <w:t xml:space="preserve"> </w:t>
      </w:r>
      <w:r w:rsidR="000A5786" w:rsidRPr="00E0292B">
        <w:rPr>
          <w:i/>
          <w:sz w:val="24"/>
          <w:szCs w:val="24"/>
        </w:rPr>
        <w:t>Z poważaniem</w:t>
      </w:r>
    </w:p>
    <w:p w14:paraId="1D1059D1" w14:textId="77777777" w:rsidR="0033557F" w:rsidRPr="00E0292B" w:rsidRDefault="0033557F" w:rsidP="006C0A91">
      <w:pPr>
        <w:spacing w:after="0" w:line="240" w:lineRule="auto"/>
        <w:ind w:left="4532" w:firstLine="708"/>
        <w:rPr>
          <w:sz w:val="24"/>
          <w:szCs w:val="24"/>
        </w:rPr>
      </w:pPr>
    </w:p>
    <w:p w14:paraId="175259CE" w14:textId="77777777" w:rsidR="006C0A91" w:rsidRPr="00E0292B" w:rsidRDefault="006C0A91" w:rsidP="006C0A91">
      <w:pPr>
        <w:spacing w:after="0" w:line="240" w:lineRule="auto"/>
        <w:ind w:left="4532" w:firstLine="708"/>
        <w:rPr>
          <w:sz w:val="24"/>
          <w:szCs w:val="24"/>
        </w:rPr>
      </w:pPr>
      <w:r w:rsidRPr="00E0292B">
        <w:rPr>
          <w:sz w:val="24"/>
          <w:szCs w:val="24"/>
        </w:rPr>
        <w:t>Konrad Szymański</w:t>
      </w:r>
    </w:p>
    <w:p w14:paraId="4D4BF420" w14:textId="77777777" w:rsidR="000A5786" w:rsidRPr="00E0292B" w:rsidRDefault="000A5786" w:rsidP="000A5786">
      <w:pPr>
        <w:spacing w:after="0" w:line="240" w:lineRule="auto"/>
        <w:ind w:left="4248" w:firstLine="284"/>
        <w:rPr>
          <w:sz w:val="24"/>
          <w:szCs w:val="24"/>
        </w:rPr>
      </w:pPr>
      <w:r w:rsidRPr="00E0292B">
        <w:rPr>
          <w:sz w:val="24"/>
          <w:szCs w:val="24"/>
        </w:rPr>
        <w:t xml:space="preserve">Minister do Spraw Unii Europejskiej  </w:t>
      </w:r>
    </w:p>
    <w:p w14:paraId="75E1439E" w14:textId="77777777" w:rsidR="000A5786" w:rsidRPr="00776B2C" w:rsidRDefault="000A5786" w:rsidP="000A5786">
      <w:pPr>
        <w:spacing w:after="0" w:line="240" w:lineRule="auto"/>
        <w:ind w:left="2832" w:firstLine="708"/>
        <w:rPr>
          <w:rFonts w:asciiTheme="minorHAnsi" w:hAnsiTheme="minorHAnsi"/>
          <w:i/>
          <w:iCs/>
          <w:sz w:val="24"/>
          <w:szCs w:val="24"/>
        </w:rPr>
      </w:pPr>
      <w:r w:rsidRPr="00E0292B">
        <w:rPr>
          <w:i/>
          <w:sz w:val="24"/>
          <w:szCs w:val="24"/>
        </w:rPr>
        <w:t>/</w:t>
      </w:r>
      <w:r w:rsidRPr="00E0292B">
        <w:rPr>
          <w:i/>
          <w:iCs/>
          <w:sz w:val="24"/>
          <w:szCs w:val="24"/>
        </w:rPr>
        <w:t>podpisano kwalifikowanym podpisem elektronicznym/</w:t>
      </w:r>
    </w:p>
    <w:sectPr w:rsidR="000A5786" w:rsidRPr="00776B2C">
      <w:headerReference w:type="default" r:id="rId9"/>
      <w:footerReference w:type="default" r:id="rId10"/>
      <w:pgSz w:w="11906" w:h="16838"/>
      <w:pgMar w:top="674" w:right="1440" w:bottom="907"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03D2A" w14:textId="77777777" w:rsidR="006C71B1" w:rsidRDefault="006C71B1" w:rsidP="00884D92">
      <w:pPr>
        <w:spacing w:after="0" w:line="240" w:lineRule="auto"/>
      </w:pPr>
      <w:r>
        <w:separator/>
      </w:r>
    </w:p>
  </w:endnote>
  <w:endnote w:type="continuationSeparator" w:id="0">
    <w:p w14:paraId="54228EC6" w14:textId="77777777" w:rsidR="006C71B1" w:rsidRDefault="006C71B1" w:rsidP="00884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4185717"/>
      <w:docPartObj>
        <w:docPartGallery w:val="Page Numbers (Bottom of Page)"/>
        <w:docPartUnique/>
      </w:docPartObj>
    </w:sdtPr>
    <w:sdtEndPr/>
    <w:sdtContent>
      <w:p w14:paraId="2B25121E" w14:textId="77777777" w:rsidR="004F3C40" w:rsidRDefault="004F3C40">
        <w:pPr>
          <w:pStyle w:val="Stopka"/>
          <w:jc w:val="right"/>
        </w:pPr>
        <w:r>
          <w:fldChar w:fldCharType="begin"/>
        </w:r>
        <w:r>
          <w:instrText>PAGE   \* MERGEFORMAT</w:instrText>
        </w:r>
        <w:r>
          <w:fldChar w:fldCharType="separate"/>
        </w:r>
        <w:r w:rsidR="00486DBE">
          <w:rPr>
            <w:noProof/>
          </w:rPr>
          <w:t>1</w:t>
        </w:r>
        <w:r>
          <w:fldChar w:fldCharType="end"/>
        </w:r>
      </w:p>
    </w:sdtContent>
  </w:sdt>
  <w:p w14:paraId="4834D852" w14:textId="77777777" w:rsidR="004F3C40" w:rsidRDefault="004F3C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D331C" w14:textId="77777777" w:rsidR="006C71B1" w:rsidRDefault="006C71B1" w:rsidP="00884D92">
      <w:pPr>
        <w:spacing w:after="0" w:line="240" w:lineRule="auto"/>
      </w:pPr>
      <w:r>
        <w:separator/>
      </w:r>
    </w:p>
  </w:footnote>
  <w:footnote w:type="continuationSeparator" w:id="0">
    <w:p w14:paraId="0799F979" w14:textId="77777777" w:rsidR="006C71B1" w:rsidRDefault="006C71B1" w:rsidP="00884D92">
      <w:pPr>
        <w:spacing w:after="0" w:line="240" w:lineRule="auto"/>
      </w:pPr>
      <w:r>
        <w:continuationSeparator/>
      </w:r>
    </w:p>
  </w:footnote>
  <w:footnote w:id="1">
    <w:p w14:paraId="03B0C51C" w14:textId="77777777" w:rsidR="00A47E7B" w:rsidRDefault="00A47E7B" w:rsidP="00A47E7B">
      <w:pPr>
        <w:pStyle w:val="Tekstprzypisudolnego"/>
      </w:pPr>
      <w:r>
        <w:rPr>
          <w:rStyle w:val="Odwoanieprzypisudolnego"/>
        </w:rPr>
        <w:footnoteRef/>
      </w:r>
      <w:r>
        <w:t xml:space="preserve"> Por. wyrok z dnia 18 lutego 1970 r., </w:t>
      </w:r>
      <w:r>
        <w:rPr>
          <w:i/>
        </w:rPr>
        <w:t>Bollmann,</w:t>
      </w:r>
      <w:r w:rsidR="00586742">
        <w:t xml:space="preserve"> C-94/77, </w:t>
      </w:r>
      <w:r>
        <w:rPr>
          <w:szCs w:val="24"/>
        </w:rPr>
        <w:t>pkt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8F9B1" w14:textId="77777777" w:rsidR="00ED1491" w:rsidRDefault="00ED1491" w:rsidP="00ED1491">
    <w:pPr>
      <w:pStyle w:val="Nagwek"/>
      <w:tabs>
        <w:tab w:val="clear" w:pos="4536"/>
        <w:tab w:val="center" w:pos="5670"/>
        <w:tab w:val="left" w:pos="7088"/>
      </w:tabs>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A541B"/>
    <w:multiLevelType w:val="hybridMultilevel"/>
    <w:tmpl w:val="C8028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55210F3"/>
    <w:multiLevelType w:val="hybridMultilevel"/>
    <w:tmpl w:val="E6E212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47F53395"/>
    <w:multiLevelType w:val="hybridMultilevel"/>
    <w:tmpl w:val="07662632"/>
    <w:lvl w:ilvl="0" w:tplc="F3AA7F6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EF13BCF"/>
    <w:multiLevelType w:val="hybridMultilevel"/>
    <w:tmpl w:val="62BAD31C"/>
    <w:lvl w:ilvl="0" w:tplc="812293B8">
      <w:start w:val="1"/>
      <w:numFmt w:val="decimal"/>
      <w:lvlText w:val="%1)"/>
      <w:lvlJc w:val="left"/>
      <w:pPr>
        <w:ind w:left="1530" w:hanging="1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F414238"/>
    <w:multiLevelType w:val="hybridMultilevel"/>
    <w:tmpl w:val="316C5E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CB1E4A"/>
    <w:multiLevelType w:val="hybridMultilevel"/>
    <w:tmpl w:val="6ED0C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036A65"/>
    <w:multiLevelType w:val="multilevel"/>
    <w:tmpl w:val="1CD0C260"/>
    <w:lvl w:ilvl="0">
      <w:start w:val="1"/>
      <w:numFmt w:val="upperRoman"/>
      <w:lvlText w:val="%1."/>
      <w:lvlJc w:val="left"/>
      <w:pPr>
        <w:tabs>
          <w:tab w:val="num" w:pos="720"/>
        </w:tabs>
        <w:ind w:left="720" w:hanging="720"/>
      </w:pPr>
      <w:rPr>
        <w:rFonts w:ascii="Times New Roman" w:hAnsi="Times New Roman" w:cs="Times New Roman" w:hint="default"/>
        <w:b/>
        <w:i w:val="0"/>
        <w:sz w:val="26"/>
        <w:szCs w:val="26"/>
      </w:rPr>
    </w:lvl>
    <w:lvl w:ilvl="1">
      <w:start w:val="1"/>
      <w:numFmt w:val="decimal"/>
      <w:lvlText w:val="%2."/>
      <w:lvlJc w:val="left"/>
      <w:pPr>
        <w:tabs>
          <w:tab w:val="num" w:pos="1984"/>
        </w:tabs>
        <w:ind w:left="1644" w:hanging="567"/>
      </w:pPr>
      <w:rPr>
        <w:rFonts w:hint="default"/>
        <w:b w:val="0"/>
      </w:rPr>
    </w:lvl>
    <w:lvl w:ilvl="2">
      <w:start w:val="1"/>
      <w:numFmt w:val="lowerLetter"/>
      <w:lvlText w:val="%3)"/>
      <w:lvlJc w:val="left"/>
      <w:pPr>
        <w:tabs>
          <w:tab w:val="num" w:pos="3061"/>
        </w:tabs>
        <w:ind w:left="2721" w:hanging="567"/>
      </w:pPr>
      <w:rPr>
        <w:rFonts w:hint="default"/>
      </w:rPr>
    </w:lvl>
    <w:lvl w:ilvl="3">
      <w:start w:val="1"/>
      <w:numFmt w:val="decimal"/>
      <w:lvlText w:val="%4."/>
      <w:lvlJc w:val="left"/>
      <w:pPr>
        <w:tabs>
          <w:tab w:val="num" w:pos="4138"/>
        </w:tabs>
        <w:ind w:left="3798" w:hanging="567"/>
      </w:pPr>
      <w:rPr>
        <w:rFonts w:hint="default"/>
      </w:rPr>
    </w:lvl>
    <w:lvl w:ilvl="4">
      <w:start w:val="1"/>
      <w:numFmt w:val="lowerLetter"/>
      <w:lvlText w:val="%5."/>
      <w:lvlJc w:val="left"/>
      <w:pPr>
        <w:tabs>
          <w:tab w:val="num" w:pos="5215"/>
        </w:tabs>
        <w:ind w:left="4875" w:hanging="567"/>
      </w:pPr>
      <w:rPr>
        <w:rFonts w:hint="default"/>
      </w:rPr>
    </w:lvl>
    <w:lvl w:ilvl="5">
      <w:start w:val="1"/>
      <w:numFmt w:val="lowerRoman"/>
      <w:lvlText w:val="%6."/>
      <w:lvlJc w:val="right"/>
      <w:pPr>
        <w:tabs>
          <w:tab w:val="num" w:pos="6292"/>
        </w:tabs>
        <w:ind w:left="5952" w:hanging="567"/>
      </w:pPr>
      <w:rPr>
        <w:rFonts w:hint="default"/>
      </w:rPr>
    </w:lvl>
    <w:lvl w:ilvl="6">
      <w:start w:val="1"/>
      <w:numFmt w:val="decimal"/>
      <w:lvlText w:val="%7."/>
      <w:lvlJc w:val="left"/>
      <w:pPr>
        <w:tabs>
          <w:tab w:val="num" w:pos="7369"/>
        </w:tabs>
        <w:ind w:left="7029" w:hanging="567"/>
      </w:pPr>
      <w:rPr>
        <w:rFonts w:hint="default"/>
      </w:rPr>
    </w:lvl>
    <w:lvl w:ilvl="7">
      <w:start w:val="1"/>
      <w:numFmt w:val="lowerLetter"/>
      <w:lvlText w:val="%8."/>
      <w:lvlJc w:val="left"/>
      <w:pPr>
        <w:tabs>
          <w:tab w:val="num" w:pos="8446"/>
        </w:tabs>
        <w:ind w:left="8106" w:hanging="567"/>
      </w:pPr>
      <w:rPr>
        <w:rFonts w:hint="default"/>
      </w:rPr>
    </w:lvl>
    <w:lvl w:ilvl="8">
      <w:start w:val="1"/>
      <w:numFmt w:val="lowerRoman"/>
      <w:lvlText w:val="%9."/>
      <w:lvlJc w:val="right"/>
      <w:pPr>
        <w:tabs>
          <w:tab w:val="num" w:pos="9523"/>
        </w:tabs>
        <w:ind w:left="9183" w:hanging="567"/>
      </w:pPr>
      <w:rPr>
        <w:rFonts w:hint="default"/>
      </w:rPr>
    </w:lvl>
  </w:abstractNum>
  <w:abstractNum w:abstractNumId="7" w15:restartNumberingAfterBreak="0">
    <w:nsid w:val="6A003E05"/>
    <w:multiLevelType w:val="hybridMultilevel"/>
    <w:tmpl w:val="CA06CD14"/>
    <w:lvl w:ilvl="0" w:tplc="DF44D4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E86526E"/>
    <w:multiLevelType w:val="hybridMultilevel"/>
    <w:tmpl w:val="3BF4904E"/>
    <w:lvl w:ilvl="0" w:tplc="DF44D4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2A02C1A"/>
    <w:multiLevelType w:val="hybridMultilevel"/>
    <w:tmpl w:val="4F000FF0"/>
    <w:lvl w:ilvl="0" w:tplc="3D7660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2741893">
    <w:abstractNumId w:val="9"/>
  </w:num>
  <w:num w:numId="2" w16cid:durableId="61803515">
    <w:abstractNumId w:val="7"/>
  </w:num>
  <w:num w:numId="3" w16cid:durableId="349142684">
    <w:abstractNumId w:val="2"/>
  </w:num>
  <w:num w:numId="4" w16cid:durableId="52851219">
    <w:abstractNumId w:val="4"/>
  </w:num>
  <w:num w:numId="5" w16cid:durableId="1749375760">
    <w:abstractNumId w:val="8"/>
  </w:num>
  <w:num w:numId="6" w16cid:durableId="1089277323">
    <w:abstractNumId w:val="0"/>
  </w:num>
  <w:num w:numId="7" w16cid:durableId="106971166">
    <w:abstractNumId w:val="3"/>
  </w:num>
  <w:num w:numId="8" w16cid:durableId="1441293805">
    <w:abstractNumId w:val="6"/>
  </w:num>
  <w:num w:numId="9" w16cid:durableId="5615213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77127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41D"/>
    <w:rsid w:val="00004F36"/>
    <w:rsid w:val="00006BDE"/>
    <w:rsid w:val="00011B90"/>
    <w:rsid w:val="00024E42"/>
    <w:rsid w:val="00031950"/>
    <w:rsid w:val="00044ED8"/>
    <w:rsid w:val="00051C8A"/>
    <w:rsid w:val="00093682"/>
    <w:rsid w:val="000A1ABB"/>
    <w:rsid w:val="000A5786"/>
    <w:rsid w:val="000A799C"/>
    <w:rsid w:val="000B641D"/>
    <w:rsid w:val="000B7445"/>
    <w:rsid w:val="000C7691"/>
    <w:rsid w:val="000E3C99"/>
    <w:rsid w:val="000F6BE0"/>
    <w:rsid w:val="000F7343"/>
    <w:rsid w:val="00112B48"/>
    <w:rsid w:val="0011520E"/>
    <w:rsid w:val="00117A4E"/>
    <w:rsid w:val="00120054"/>
    <w:rsid w:val="00123D6A"/>
    <w:rsid w:val="0012517F"/>
    <w:rsid w:val="00182A81"/>
    <w:rsid w:val="00197EFD"/>
    <w:rsid w:val="001A371A"/>
    <w:rsid w:val="001B4D9A"/>
    <w:rsid w:val="001C488D"/>
    <w:rsid w:val="001D3DDB"/>
    <w:rsid w:val="001D7EF2"/>
    <w:rsid w:val="001E3DB4"/>
    <w:rsid w:val="001E5679"/>
    <w:rsid w:val="0020742D"/>
    <w:rsid w:val="00214D41"/>
    <w:rsid w:val="00240171"/>
    <w:rsid w:val="002506A5"/>
    <w:rsid w:val="0025206F"/>
    <w:rsid w:val="00276A4F"/>
    <w:rsid w:val="0029337C"/>
    <w:rsid w:val="00297998"/>
    <w:rsid w:val="002A7C59"/>
    <w:rsid w:val="002C1211"/>
    <w:rsid w:val="002C256D"/>
    <w:rsid w:val="002C2C2C"/>
    <w:rsid w:val="002C5790"/>
    <w:rsid w:val="002D3DFD"/>
    <w:rsid w:val="002E1BE7"/>
    <w:rsid w:val="002F1F70"/>
    <w:rsid w:val="00321435"/>
    <w:rsid w:val="0033518B"/>
    <w:rsid w:val="0033557F"/>
    <w:rsid w:val="00340B58"/>
    <w:rsid w:val="00342908"/>
    <w:rsid w:val="00353651"/>
    <w:rsid w:val="0036308D"/>
    <w:rsid w:val="003639D1"/>
    <w:rsid w:val="00370101"/>
    <w:rsid w:val="00381526"/>
    <w:rsid w:val="003873E5"/>
    <w:rsid w:val="003B3819"/>
    <w:rsid w:val="003C1D31"/>
    <w:rsid w:val="003D681C"/>
    <w:rsid w:val="003E3818"/>
    <w:rsid w:val="003F4302"/>
    <w:rsid w:val="003F4714"/>
    <w:rsid w:val="00400FAC"/>
    <w:rsid w:val="004043A0"/>
    <w:rsid w:val="00407F58"/>
    <w:rsid w:val="0041470F"/>
    <w:rsid w:val="004169C2"/>
    <w:rsid w:val="00420758"/>
    <w:rsid w:val="00422001"/>
    <w:rsid w:val="00426613"/>
    <w:rsid w:val="00427A5C"/>
    <w:rsid w:val="0043065E"/>
    <w:rsid w:val="00436D8A"/>
    <w:rsid w:val="0043750F"/>
    <w:rsid w:val="004427B2"/>
    <w:rsid w:val="004541E3"/>
    <w:rsid w:val="00486DBE"/>
    <w:rsid w:val="00491F7C"/>
    <w:rsid w:val="004C2629"/>
    <w:rsid w:val="004C38DD"/>
    <w:rsid w:val="004D29C8"/>
    <w:rsid w:val="004E49F1"/>
    <w:rsid w:val="004E78B9"/>
    <w:rsid w:val="004F3C40"/>
    <w:rsid w:val="004F4362"/>
    <w:rsid w:val="004F4D22"/>
    <w:rsid w:val="005230E5"/>
    <w:rsid w:val="00553C84"/>
    <w:rsid w:val="00561F93"/>
    <w:rsid w:val="00562B4D"/>
    <w:rsid w:val="0056397E"/>
    <w:rsid w:val="0056446A"/>
    <w:rsid w:val="00586742"/>
    <w:rsid w:val="0059066B"/>
    <w:rsid w:val="0059129E"/>
    <w:rsid w:val="00597116"/>
    <w:rsid w:val="005A13AB"/>
    <w:rsid w:val="005A7A7B"/>
    <w:rsid w:val="005B204C"/>
    <w:rsid w:val="005B6B00"/>
    <w:rsid w:val="005E009F"/>
    <w:rsid w:val="005F6615"/>
    <w:rsid w:val="0062246B"/>
    <w:rsid w:val="00631ABF"/>
    <w:rsid w:val="006434B3"/>
    <w:rsid w:val="006529EC"/>
    <w:rsid w:val="00656049"/>
    <w:rsid w:val="006C0A91"/>
    <w:rsid w:val="006C71B1"/>
    <w:rsid w:val="006D467A"/>
    <w:rsid w:val="006E6221"/>
    <w:rsid w:val="00700D12"/>
    <w:rsid w:val="007155CC"/>
    <w:rsid w:val="00716C0D"/>
    <w:rsid w:val="00726EA4"/>
    <w:rsid w:val="0073193E"/>
    <w:rsid w:val="00732629"/>
    <w:rsid w:val="007364FE"/>
    <w:rsid w:val="00755E86"/>
    <w:rsid w:val="007655C1"/>
    <w:rsid w:val="00772639"/>
    <w:rsid w:val="007749CA"/>
    <w:rsid w:val="00776B2C"/>
    <w:rsid w:val="007804DD"/>
    <w:rsid w:val="007A0C02"/>
    <w:rsid w:val="007B2174"/>
    <w:rsid w:val="007D316B"/>
    <w:rsid w:val="00822E6B"/>
    <w:rsid w:val="00833AE0"/>
    <w:rsid w:val="008375A4"/>
    <w:rsid w:val="00842CAB"/>
    <w:rsid w:val="0086668D"/>
    <w:rsid w:val="008750E2"/>
    <w:rsid w:val="0087750B"/>
    <w:rsid w:val="00884D92"/>
    <w:rsid w:val="0089100E"/>
    <w:rsid w:val="00891A23"/>
    <w:rsid w:val="008A12B2"/>
    <w:rsid w:val="008B6A6F"/>
    <w:rsid w:val="008F15F9"/>
    <w:rsid w:val="008F2428"/>
    <w:rsid w:val="008F63BA"/>
    <w:rsid w:val="0090554F"/>
    <w:rsid w:val="009057EF"/>
    <w:rsid w:val="009174F2"/>
    <w:rsid w:val="00921A6C"/>
    <w:rsid w:val="009226F8"/>
    <w:rsid w:val="0092343A"/>
    <w:rsid w:val="00926ADF"/>
    <w:rsid w:val="00926CD0"/>
    <w:rsid w:val="009275C7"/>
    <w:rsid w:val="0093033D"/>
    <w:rsid w:val="00941E4B"/>
    <w:rsid w:val="009432E6"/>
    <w:rsid w:val="0094598A"/>
    <w:rsid w:val="0096349E"/>
    <w:rsid w:val="00963FFF"/>
    <w:rsid w:val="0096418E"/>
    <w:rsid w:val="0096469A"/>
    <w:rsid w:val="00977403"/>
    <w:rsid w:val="00982221"/>
    <w:rsid w:val="009912D5"/>
    <w:rsid w:val="0099393A"/>
    <w:rsid w:val="009B1ED8"/>
    <w:rsid w:val="009B25AF"/>
    <w:rsid w:val="009B3332"/>
    <w:rsid w:val="009D15F4"/>
    <w:rsid w:val="009D582B"/>
    <w:rsid w:val="009E71E0"/>
    <w:rsid w:val="009F1C4E"/>
    <w:rsid w:val="009F287A"/>
    <w:rsid w:val="009F3F22"/>
    <w:rsid w:val="00A20A98"/>
    <w:rsid w:val="00A24BF6"/>
    <w:rsid w:val="00A47E7B"/>
    <w:rsid w:val="00A50033"/>
    <w:rsid w:val="00A50C15"/>
    <w:rsid w:val="00A53BDF"/>
    <w:rsid w:val="00A60782"/>
    <w:rsid w:val="00A6081A"/>
    <w:rsid w:val="00A61139"/>
    <w:rsid w:val="00A670B6"/>
    <w:rsid w:val="00A72014"/>
    <w:rsid w:val="00A746C2"/>
    <w:rsid w:val="00A94EE0"/>
    <w:rsid w:val="00AA0E87"/>
    <w:rsid w:val="00AA155A"/>
    <w:rsid w:val="00AB3B20"/>
    <w:rsid w:val="00AB4A67"/>
    <w:rsid w:val="00AC7494"/>
    <w:rsid w:val="00AF1993"/>
    <w:rsid w:val="00B01D3E"/>
    <w:rsid w:val="00B325C9"/>
    <w:rsid w:val="00B332C7"/>
    <w:rsid w:val="00B374CF"/>
    <w:rsid w:val="00B44895"/>
    <w:rsid w:val="00B62D37"/>
    <w:rsid w:val="00B66802"/>
    <w:rsid w:val="00B71637"/>
    <w:rsid w:val="00B83949"/>
    <w:rsid w:val="00B85702"/>
    <w:rsid w:val="00B9144F"/>
    <w:rsid w:val="00B95DAA"/>
    <w:rsid w:val="00BC0DB4"/>
    <w:rsid w:val="00BE0B15"/>
    <w:rsid w:val="00BE475A"/>
    <w:rsid w:val="00BF4BBE"/>
    <w:rsid w:val="00C02F6E"/>
    <w:rsid w:val="00C32853"/>
    <w:rsid w:val="00C33E4D"/>
    <w:rsid w:val="00C364E3"/>
    <w:rsid w:val="00C432E5"/>
    <w:rsid w:val="00C7211C"/>
    <w:rsid w:val="00C73324"/>
    <w:rsid w:val="00C8572B"/>
    <w:rsid w:val="00C8636B"/>
    <w:rsid w:val="00C95620"/>
    <w:rsid w:val="00C96B9D"/>
    <w:rsid w:val="00CB4E38"/>
    <w:rsid w:val="00CC223B"/>
    <w:rsid w:val="00CE6D73"/>
    <w:rsid w:val="00CF1BD5"/>
    <w:rsid w:val="00D11040"/>
    <w:rsid w:val="00D16325"/>
    <w:rsid w:val="00D20C08"/>
    <w:rsid w:val="00D25F2D"/>
    <w:rsid w:val="00D35F42"/>
    <w:rsid w:val="00D4002A"/>
    <w:rsid w:val="00D41BFF"/>
    <w:rsid w:val="00D41EDC"/>
    <w:rsid w:val="00D46C06"/>
    <w:rsid w:val="00D55485"/>
    <w:rsid w:val="00D609B6"/>
    <w:rsid w:val="00D62D8E"/>
    <w:rsid w:val="00D942F1"/>
    <w:rsid w:val="00DA39B3"/>
    <w:rsid w:val="00DC6058"/>
    <w:rsid w:val="00DD1C5F"/>
    <w:rsid w:val="00DD66D9"/>
    <w:rsid w:val="00DE588D"/>
    <w:rsid w:val="00DF4941"/>
    <w:rsid w:val="00DF6E75"/>
    <w:rsid w:val="00E0292B"/>
    <w:rsid w:val="00E039D2"/>
    <w:rsid w:val="00E11161"/>
    <w:rsid w:val="00E23D0D"/>
    <w:rsid w:val="00E2438C"/>
    <w:rsid w:val="00E31BB5"/>
    <w:rsid w:val="00E3201B"/>
    <w:rsid w:val="00E368A4"/>
    <w:rsid w:val="00E50DA0"/>
    <w:rsid w:val="00E52846"/>
    <w:rsid w:val="00E744E3"/>
    <w:rsid w:val="00E942A5"/>
    <w:rsid w:val="00EA2CDB"/>
    <w:rsid w:val="00EB404A"/>
    <w:rsid w:val="00ED1491"/>
    <w:rsid w:val="00ED4568"/>
    <w:rsid w:val="00EF4923"/>
    <w:rsid w:val="00F02BFD"/>
    <w:rsid w:val="00F61501"/>
    <w:rsid w:val="00F656B6"/>
    <w:rsid w:val="00F83F19"/>
    <w:rsid w:val="00FA1E55"/>
    <w:rsid w:val="00FA28F8"/>
    <w:rsid w:val="00FA6F38"/>
    <w:rsid w:val="00FB71DD"/>
    <w:rsid w:val="00FC38AB"/>
    <w:rsid w:val="00FC7D00"/>
    <w:rsid w:val="00FD1283"/>
    <w:rsid w:val="00FF7F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23673C"/>
  <w15:docId w15:val="{DBD41FF8-7B4C-406A-AF94-34E99F069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4D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4D92"/>
    <w:rPr>
      <w:rFonts w:ascii="Calibri" w:eastAsia="Calibri" w:hAnsi="Calibri" w:cs="Calibri"/>
      <w:color w:val="000000"/>
    </w:rPr>
  </w:style>
  <w:style w:type="paragraph" w:styleId="Stopka">
    <w:name w:val="footer"/>
    <w:basedOn w:val="Normalny"/>
    <w:link w:val="StopkaZnak"/>
    <w:uiPriority w:val="99"/>
    <w:unhideWhenUsed/>
    <w:rsid w:val="00884D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4D92"/>
    <w:rPr>
      <w:rFonts w:ascii="Calibri" w:eastAsia="Calibri" w:hAnsi="Calibri" w:cs="Calibri"/>
      <w:color w:val="000000"/>
    </w:rPr>
  </w:style>
  <w:style w:type="paragraph" w:styleId="Tekstdymka">
    <w:name w:val="Balloon Text"/>
    <w:basedOn w:val="Normalny"/>
    <w:link w:val="TekstdymkaZnak"/>
    <w:uiPriority w:val="99"/>
    <w:semiHidden/>
    <w:unhideWhenUsed/>
    <w:rsid w:val="00A607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0782"/>
    <w:rPr>
      <w:rFonts w:ascii="Tahoma" w:eastAsia="Calibri" w:hAnsi="Tahoma" w:cs="Tahoma"/>
      <w:color w:val="000000"/>
      <w:sz w:val="16"/>
      <w:szCs w:val="16"/>
    </w:rPr>
  </w:style>
  <w:style w:type="paragraph" w:styleId="Tekstpodstawowy">
    <w:name w:val="Body Text"/>
    <w:basedOn w:val="Normalny"/>
    <w:link w:val="TekstpodstawowyZnak"/>
    <w:rsid w:val="00EB404A"/>
    <w:pPr>
      <w:spacing w:after="120" w:line="240" w:lineRule="auto"/>
    </w:pPr>
    <w:rPr>
      <w:rFonts w:ascii="Times New Roman" w:eastAsia="Times New Roman" w:hAnsi="Times New Roman" w:cs="Times New Roman"/>
      <w:color w:val="auto"/>
      <w:sz w:val="24"/>
      <w:szCs w:val="20"/>
    </w:rPr>
  </w:style>
  <w:style w:type="character" w:customStyle="1" w:styleId="TekstpodstawowyZnak">
    <w:name w:val="Tekst podstawowy Znak"/>
    <w:basedOn w:val="Domylnaczcionkaakapitu"/>
    <w:link w:val="Tekstpodstawowy"/>
    <w:rsid w:val="00EB404A"/>
    <w:rPr>
      <w:rFonts w:ascii="Times New Roman" w:eastAsia="Times New Roman" w:hAnsi="Times New Roman" w:cs="Times New Roman"/>
      <w:sz w:val="24"/>
      <w:szCs w:val="20"/>
    </w:rPr>
  </w:style>
  <w:style w:type="paragraph" w:styleId="Akapitzlist">
    <w:name w:val="List Paragraph"/>
    <w:basedOn w:val="Normalny"/>
    <w:uiPriority w:val="34"/>
    <w:qFormat/>
    <w:rsid w:val="002D3DFD"/>
    <w:pPr>
      <w:ind w:left="720"/>
      <w:contextualSpacing/>
    </w:pPr>
  </w:style>
  <w:style w:type="paragraph" w:styleId="Tekstprzypisudolnego">
    <w:name w:val="footnote text"/>
    <w:aliases w:val="Tekst przypisu,Podrozdział,Footnote,Podrozdzia3,Tekst przypisu Znak Znak Znak Znak,Tekst przypisu Znak Znak Znak Znak Znak,Tekst przypisu Znak Znak Znak Znak Znak Znak Znak,Tekst przypisu Znak Znak Znak Znak Znak Znak Znak Znak Zn"/>
    <w:basedOn w:val="Normalny"/>
    <w:link w:val="TekstprzypisudolnegoZnak"/>
    <w:unhideWhenUsed/>
    <w:rsid w:val="0089100E"/>
    <w:pPr>
      <w:spacing w:after="0" w:line="240" w:lineRule="auto"/>
    </w:pPr>
    <w:rPr>
      <w:sz w:val="20"/>
      <w:szCs w:val="20"/>
    </w:rPr>
  </w:style>
  <w:style w:type="character" w:customStyle="1" w:styleId="TekstprzypisudolnegoZnak">
    <w:name w:val="Tekst przypisu dolnego Znak"/>
    <w:aliases w:val="Tekst przypisu Znak,Podrozdział Znak,Footnote Znak,Podrozdzia3 Znak,Tekst przypisu Znak Znak Znak Znak Znak1,Tekst przypisu Znak Znak Znak Znak Znak Znak,Tekst przypisu Znak Znak Znak Znak Znak Znak Znak Znak"/>
    <w:basedOn w:val="Domylnaczcionkaakapitu"/>
    <w:link w:val="Tekstprzypisudolnego"/>
    <w:rsid w:val="0089100E"/>
    <w:rPr>
      <w:rFonts w:ascii="Calibri" w:eastAsia="Calibri" w:hAnsi="Calibri" w:cs="Calibri"/>
      <w:color w:val="000000"/>
      <w:sz w:val="20"/>
      <w:szCs w:val="20"/>
    </w:rPr>
  </w:style>
  <w:style w:type="character" w:styleId="Odwoanieprzypisudolnego">
    <w:name w:val="footnote reference"/>
    <w:aliases w:val="SUPERS Znak,SUPERS Carattere Znak,Footnote number Carattere Znak,de nota al pie Carattere Znak,Ref Carattere Znak,Footnote symbol Carattere Znak,Char Carattere Znak,Voetnootmarkering Carattere Znak,Char1 Carattere Znak,Ref,fr"/>
    <w:basedOn w:val="Domylnaczcionkaakapitu"/>
    <w:link w:val="Char"/>
    <w:unhideWhenUsed/>
    <w:rsid w:val="0089100E"/>
    <w:rPr>
      <w:vertAlign w:val="superscript"/>
    </w:rPr>
  </w:style>
  <w:style w:type="table" w:styleId="Tabela-Siatka">
    <w:name w:val="Table Grid"/>
    <w:basedOn w:val="Standardowy"/>
    <w:uiPriority w:val="39"/>
    <w:rsid w:val="00006BDE"/>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1">
    <w:name w:val="Tekst przypisu dolnego Znak1"/>
    <w:aliases w:val="Tekst przypisu Znak1,Podrozdział Znak1,Footnote Znak1,Podrozdzia3 Znak1,Tekst przypisu Znak Znak Znak Znak Znak2,Tekst przypisu Znak Znak Znak Znak Znak Znak1,Tekst przypisu Znak Znak Znak Znak Znak Znak Znak Znak1"/>
    <w:uiPriority w:val="99"/>
    <w:locked/>
    <w:rsid w:val="002C5790"/>
    <w:rPr>
      <w:rFonts w:ascii="Times New Roman" w:eastAsia="Times New Roman" w:hAnsi="Times New Roman" w:cs="Times New Roman"/>
      <w:sz w:val="20"/>
      <w:szCs w:val="20"/>
      <w:lang w:eastAsia="pl-PL"/>
    </w:rPr>
  </w:style>
  <w:style w:type="paragraph" w:customStyle="1" w:styleId="Char">
    <w:name w:val="Char"/>
    <w:basedOn w:val="Normalny"/>
    <w:link w:val="Odwoanieprzypisudolnego"/>
    <w:uiPriority w:val="99"/>
    <w:rsid w:val="002C5790"/>
    <w:pPr>
      <w:spacing w:line="240" w:lineRule="exact"/>
    </w:pPr>
    <w:rPr>
      <w:rFonts w:asciiTheme="minorHAnsi" w:eastAsiaTheme="minorEastAsia" w:hAnsiTheme="minorHAnsi" w:cstheme="minorBidi"/>
      <w:color w:val="auto"/>
      <w:vertAlign w:val="superscript"/>
    </w:rPr>
  </w:style>
  <w:style w:type="paragraph" w:styleId="Tekstkomentarza">
    <w:name w:val="annotation text"/>
    <w:basedOn w:val="Normalny"/>
    <w:link w:val="TekstkomentarzaZnak1"/>
    <w:uiPriority w:val="99"/>
    <w:rsid w:val="0043750F"/>
    <w:pPr>
      <w:spacing w:after="0" w:line="240" w:lineRule="auto"/>
    </w:pPr>
    <w:rPr>
      <w:rFonts w:ascii="Times New Roman" w:eastAsia="Times New Roman" w:hAnsi="Times New Roman" w:cs="Times New Roman"/>
      <w:color w:val="auto"/>
      <w:sz w:val="20"/>
      <w:szCs w:val="20"/>
    </w:rPr>
  </w:style>
  <w:style w:type="character" w:customStyle="1" w:styleId="TekstkomentarzaZnak">
    <w:name w:val="Tekst komentarza Znak"/>
    <w:basedOn w:val="Domylnaczcionkaakapitu"/>
    <w:uiPriority w:val="99"/>
    <w:semiHidden/>
    <w:rsid w:val="0043750F"/>
    <w:rPr>
      <w:rFonts w:ascii="Calibri" w:eastAsia="Calibri" w:hAnsi="Calibri" w:cs="Calibri"/>
      <w:color w:val="000000"/>
      <w:sz w:val="20"/>
      <w:szCs w:val="20"/>
    </w:rPr>
  </w:style>
  <w:style w:type="character" w:customStyle="1" w:styleId="TekstkomentarzaZnak1">
    <w:name w:val="Tekst komentarza Znak1"/>
    <w:link w:val="Tekstkomentarza"/>
    <w:uiPriority w:val="99"/>
    <w:locked/>
    <w:rsid w:val="0043750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93519">
      <w:bodyDiv w:val="1"/>
      <w:marLeft w:val="0"/>
      <w:marRight w:val="0"/>
      <w:marTop w:val="0"/>
      <w:marBottom w:val="0"/>
      <w:divBdr>
        <w:top w:val="none" w:sz="0" w:space="0" w:color="auto"/>
        <w:left w:val="none" w:sz="0" w:space="0" w:color="auto"/>
        <w:bottom w:val="none" w:sz="0" w:space="0" w:color="auto"/>
        <w:right w:val="none" w:sz="0" w:space="0" w:color="auto"/>
      </w:divBdr>
    </w:div>
    <w:div w:id="206987902">
      <w:bodyDiv w:val="1"/>
      <w:marLeft w:val="0"/>
      <w:marRight w:val="0"/>
      <w:marTop w:val="0"/>
      <w:marBottom w:val="0"/>
      <w:divBdr>
        <w:top w:val="none" w:sz="0" w:space="0" w:color="auto"/>
        <w:left w:val="none" w:sz="0" w:space="0" w:color="auto"/>
        <w:bottom w:val="none" w:sz="0" w:space="0" w:color="auto"/>
        <w:right w:val="none" w:sz="0" w:space="0" w:color="auto"/>
      </w:divBdr>
    </w:div>
    <w:div w:id="397168194">
      <w:bodyDiv w:val="1"/>
      <w:marLeft w:val="0"/>
      <w:marRight w:val="0"/>
      <w:marTop w:val="0"/>
      <w:marBottom w:val="0"/>
      <w:divBdr>
        <w:top w:val="none" w:sz="0" w:space="0" w:color="auto"/>
        <w:left w:val="none" w:sz="0" w:space="0" w:color="auto"/>
        <w:bottom w:val="none" w:sz="0" w:space="0" w:color="auto"/>
        <w:right w:val="none" w:sz="0" w:space="0" w:color="auto"/>
      </w:divBdr>
    </w:div>
    <w:div w:id="542324934">
      <w:bodyDiv w:val="1"/>
      <w:marLeft w:val="0"/>
      <w:marRight w:val="0"/>
      <w:marTop w:val="0"/>
      <w:marBottom w:val="0"/>
      <w:divBdr>
        <w:top w:val="none" w:sz="0" w:space="0" w:color="auto"/>
        <w:left w:val="none" w:sz="0" w:space="0" w:color="auto"/>
        <w:bottom w:val="none" w:sz="0" w:space="0" w:color="auto"/>
        <w:right w:val="none" w:sz="0" w:space="0" w:color="auto"/>
      </w:divBdr>
    </w:div>
    <w:div w:id="599264937">
      <w:bodyDiv w:val="1"/>
      <w:marLeft w:val="0"/>
      <w:marRight w:val="0"/>
      <w:marTop w:val="0"/>
      <w:marBottom w:val="0"/>
      <w:divBdr>
        <w:top w:val="none" w:sz="0" w:space="0" w:color="auto"/>
        <w:left w:val="none" w:sz="0" w:space="0" w:color="auto"/>
        <w:bottom w:val="none" w:sz="0" w:space="0" w:color="auto"/>
        <w:right w:val="none" w:sz="0" w:space="0" w:color="auto"/>
      </w:divBdr>
    </w:div>
    <w:div w:id="645280315">
      <w:bodyDiv w:val="1"/>
      <w:marLeft w:val="0"/>
      <w:marRight w:val="0"/>
      <w:marTop w:val="0"/>
      <w:marBottom w:val="0"/>
      <w:divBdr>
        <w:top w:val="none" w:sz="0" w:space="0" w:color="auto"/>
        <w:left w:val="none" w:sz="0" w:space="0" w:color="auto"/>
        <w:bottom w:val="none" w:sz="0" w:space="0" w:color="auto"/>
        <w:right w:val="none" w:sz="0" w:space="0" w:color="auto"/>
      </w:divBdr>
    </w:div>
    <w:div w:id="1444569381">
      <w:bodyDiv w:val="1"/>
      <w:marLeft w:val="0"/>
      <w:marRight w:val="0"/>
      <w:marTop w:val="0"/>
      <w:marBottom w:val="0"/>
      <w:divBdr>
        <w:top w:val="none" w:sz="0" w:space="0" w:color="auto"/>
        <w:left w:val="none" w:sz="0" w:space="0" w:color="auto"/>
        <w:bottom w:val="none" w:sz="0" w:space="0" w:color="auto"/>
        <w:right w:val="none" w:sz="0" w:space="0" w:color="auto"/>
      </w:divBdr>
    </w:div>
    <w:div w:id="1505702565">
      <w:bodyDiv w:val="1"/>
      <w:marLeft w:val="0"/>
      <w:marRight w:val="0"/>
      <w:marTop w:val="0"/>
      <w:marBottom w:val="0"/>
      <w:divBdr>
        <w:top w:val="none" w:sz="0" w:space="0" w:color="auto"/>
        <w:left w:val="none" w:sz="0" w:space="0" w:color="auto"/>
        <w:bottom w:val="none" w:sz="0" w:space="0" w:color="auto"/>
        <w:right w:val="none" w:sz="0" w:space="0" w:color="auto"/>
      </w:divBdr>
    </w:div>
    <w:div w:id="2051178026">
      <w:bodyDiv w:val="1"/>
      <w:marLeft w:val="0"/>
      <w:marRight w:val="0"/>
      <w:marTop w:val="0"/>
      <w:marBottom w:val="0"/>
      <w:divBdr>
        <w:top w:val="none" w:sz="0" w:space="0" w:color="auto"/>
        <w:left w:val="none" w:sz="0" w:space="0" w:color="auto"/>
        <w:bottom w:val="none" w:sz="0" w:space="0" w:color="auto"/>
        <w:right w:val="none" w:sz="0" w:space="0" w:color="auto"/>
      </w:divBdr>
    </w:div>
    <w:div w:id="2061662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AA265-BC17-4C1D-9ACB-DC0161D8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1191</Words>
  <Characters>7148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Żyrek Sylwia</dc:creator>
  <cp:lastModifiedBy>Żak Łukasz  (DLUS)</cp:lastModifiedBy>
  <cp:revision>2</cp:revision>
  <dcterms:created xsi:type="dcterms:W3CDTF">2023-02-14T10:24:00Z</dcterms:created>
  <dcterms:modified xsi:type="dcterms:W3CDTF">2023-02-14T10:24:00Z</dcterms:modified>
</cp:coreProperties>
</file>